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52.1998.79 vom 3. Juni 1998</w:t>
      </w:r>
    </w:p>
    <w:p>
      <w:r>
        <w:t>TI Tribunale d'appello, 1998-06-03, IT</w:t>
      </w:r>
    </w:p>
    <w:p>
      <w:r>
        <w:rPr>
          <w:b/>
        </w:rPr>
        <w:t xml:space="preserve">Quelle: </w:t>
      </w:r>
      <w:r>
        <w:t>https://mcp.opencaselaw.ch/entscheid/ti_gerichte_52.1998.79</w:t>
      </w:r>
    </w:p>
    <w:p>
      <w:r>
        <w:t>FR: TI_GERICHTE 52.1998.79 du 3 juin 1998</w:t>
      </w:r>
    </w:p>
    <w:p>
      <w:r>
        <w:t>IT: TI_GERICHTE 52.1998.79 del 3 giugno 1998</w:t>
      </w:r>
    </w:p>
    <w:p>
      <w:pPr>
        <w:pStyle w:val="Heading2"/>
      </w:pPr>
      <w:r>
        <w:t>Volltext</w:t>
      </w:r>
    </w:p>
    <w:p>
      <w:r>
        <w:t>Incarto n.52.98.00079</w:t>
      </w:r>
    </w:p>
    <w:p>
      <w:r>
        <w:t>Lugano</w:t>
      </w:r>
    </w:p>
    <w:p>
      <w:r>
        <w:t>3 giugno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25 marzo 1998 di</w:t>
      </w:r>
    </w:p>
    <w:p>
      <w:r>
        <w:t>__________</w:t>
      </w:r>
    </w:p>
    <w:p>
      <w:r>
        <w:t>contro</w:t>
      </w:r>
    </w:p>
    <w:p>
      <w:r>
        <w:t>la decisione 4 marzo 1998, no. 841, del Consiglio di Stato che respinge il ricorso 12 febbraio 1998 dell'insorgente interposto contro la decisione 26 gennaio 1998 del municipio di __________ concernente la nomina di una funzionaria amministrativa a metà tempo;</w:t>
      </w:r>
    </w:p>
    <w:p>
      <w:r>
        <w:t>preso atto che in data 2 maggio 1998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