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52.1998.68 vom 3. Juni 1998</w:t>
      </w:r>
    </w:p>
    <w:p>
      <w:r>
        <w:t>TI Tribunale d'appello, 1998-06-03, IT</w:t>
      </w:r>
    </w:p>
    <w:p>
      <w:r>
        <w:rPr>
          <w:b/>
        </w:rPr>
        <w:t xml:space="preserve">Quelle: </w:t>
      </w:r>
      <w:r>
        <w:t>https://mcp.opencaselaw.ch/entscheid/ti_gerichte_52.1998.68</w:t>
      </w:r>
    </w:p>
    <w:p>
      <w:r>
        <w:t>FR: TI_GERICHTE 52.1998.68 du 3 juin 1998</w:t>
      </w:r>
    </w:p>
    <w:p>
      <w:r>
        <w:t>IT: TI_GERICHTE 52.1998.68 del 3 giugno 1998</w:t>
      </w:r>
    </w:p>
    <w:p>
      <w:pPr>
        <w:pStyle w:val="Heading2"/>
      </w:pPr>
      <w:r>
        <w:t>Regeste</w:t>
      </w:r>
    </w:p>
    <w:p>
      <w:r>
        <w:t>Sentenza o decisione senza scheda</w:t>
      </w:r>
    </w:p>
    <w:p>
      <w:pPr>
        <w:pStyle w:val="Heading2"/>
      </w:pPr>
      <w:r>
        <w:t>Erwägungen</w:t>
      </w:r>
    </w:p>
    <w:p>
      <w:r>
        <w:rPr>
          <w:b/>
        </w:rPr>
        <w:t>E. 1</w:t>
      </w:r>
    </w:p>
    <w:p>
      <w:r>
        <w:t>LCStr, art. 33 cpv. 2 OAC). La durata della revoca deve essere di almeno un mese (art. 17 cpv. 1 a LCStr). 5.   5.1. Le fattispecie contemplate dall'art. 16 cpv. 2 e 3 lett. a LCStr sono adempiute allorquando il conducente di un veicolo a motore si rende colpevole di una violazione delle regole della circolazione tale da creare un accresciuto pericolo, anche se solo potenziale, per la sicurezza del traffico e di terzi (Schaffauser R., Grundriss des schweizerischen Strassenverkehrsrechts, vol. III, pag. 159 e segg.) Se in un singolo caso il comportamento del conducente di un veicolo ha dato luogo o meno ad una tale situazione di pericolo, deve essere valutato non tanto con riferimento alle norme della strada violate, quanto piuttosto in base alle precise circostanze di fatto (DTF 118 IV 285 e segg.). 5.2. Durante l'interrogatorio di polizia __________ ha ricordato che ad un certo punto la sua vettura ha iniziato improvvisamente a sbandare, senza che da parte sua potesse fare qualcosa per controllarla, tanto che gli sembrò di circolare sul ghiaccio. Ha inoltre esplicitamente dichiarato che la causa dell'incidente non è da addebitare ad altri conducenti, ma solo ad un suo "probabile errore". Non ha invece accennato alle motivazioni, che risultano essere quindi pretestuose, di cui si prevale ora, più precisamente al fatto che lo sbandamento sarebbe stato causato da un giunto di dilatazione della carreggiata reso viscido dalla pioggia. Ha ammesso anche di sapere che i pneumatici posteriori andavano sostituiti, non spiegando, come invece fa in questa sede, che la sostituzione sarebbe stata rimandata perché quelli di sostituzione non erano disponibili e che il consumo del profilo sarebbe comunque avvenuto durante il suo breve soggiorno in Italia in cui avrebbe dovuto percorrere del tutto fuori dalle previsioni 2'800 km; motivi questi ultimi che in ogni caso non attenuerebbero la sua responsabilità. Si deve inoltre concludere che per le condizioni atmosferiche e della strada, bagnata, visto lo sbandamento che si è prodotto, la velocità tenuta dal ricorrente non era adeguata alle circostanze, quand'anche, come egli ha dichiarato, sia stata al di sotto del limite di 120 km/h. E' fuori dubbio quindi che le infrazioni alle norme delle circolazione stradale imputategli si sono perfezionate. Queste di certo erano tali da creare un pericolo non indifferente per la sicurezza stradale. Difatti la spettacolare sbandata descritta nel rapporto di polizia poteva avere gravi conseguenze e coinvolgere anche altri veicoli, e forse soltanto per puro caso e per la solidità del veicolo -peraltro per ammissione dello stesso ricorrente, andato completamente distrutto (interrogatorio di polizia)- si è evitato il peggio. Corretto dunque che la Sezione della circolazione abbia preso in considerazione un provvedimento di revoca facoltativo, ai sensi dell'art. 16 cpv. 2 LCStr. 5.3. Circolando in autostrada a velocità inadeguata in fase di sorpasso su un fondo stradale bagnato, con pericolo di acquaplanig, il ricorrente ha compiuto indubbiamente una negligenza, aggravata anche dal fatto che sapeva che le coperture dei pneumatici posteriori erano completamente lisce. La misura di revoca è dunque perfettamente coerente con la gravità dell'infrazione. Per il fatto che in passato, per altra infrazione che per gravità avrebbe pure potuto comportare una revoca della licenza di condurre, il ricorrente ha ricevuto soltanto un ammonimento, non si può più ora prescindere dal pronunciare la revoca effettiva, atteso che lo scopo educativo-repressivo della stessa appare ora preminente. Limitando la durata al minimo previsto dalla legge, si tengono già in debito conto tutte le attenuanti invocate dal ricorrente, il quale, va riconosciuto, non presenta quale automobilista una prognosi negativa. 5.4. __________ ha pure allegato di non potere fare a meno della licenza di condurre per motivi professionali. La giurisprudenza riconosce la necessità professionale con estrema riserva e soltanto quando il mezzo meccanico costituisce, per così dire, il "posto di lavoro" per l'amministrato (nel caso di autisti di professione, conduttori di tassì ecc.) o quando il fatto di non poter guidare gli comporterebbe perdite di guadagno consistenti o costi rilevanti (R. Schaffauser, op. cit., pag. 283 e segg, nota 2441 e segg.). Il ricorrente, commerciante nel settore fitness e editore/redattore di una rivista specializzata in questo campo, non rientra nella predetta categoria. Per i suoi spostamenti può senz'altro fare capo ai mezzi di trasporto pubblici o a collaboratori. 5.5. Riguardo al periodo in cui scontare la revoca, che il ricorrente vorrebbe fosse fissato durante le sue ferie, le norme legali non gli concedono alcun diritto di vedere soddisfatte le sue esigenze a dipendenza del periodo che più gli fa comodo. Non spetta quindi a questo Tribunale pronunciarsi in merito a simili desideri del ricorrente. Il ricorso deve pertanto essere integralmente respinto. Tasse e spese seguono la soccombenza (art. 28 PAmm). Per questi motivi, visti gli art. 6 CEDU, 16 cpv. 2 17, 29, 31 cpv. 1, 32 cpv. 1, 30 cv. 2, 33 cpv. 2 OAC, 58 cpv. 4 OETV, 10 LALCStr, 18, 28, 60, 65 PAmm; dichiara e pronuncia: 1.   Il ricorso è respinto. 2.   La tassa di giustizia e le spese di complessivi fr. 900.-- sono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