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52.1998.64 vom 12. Juni 1998</w:t>
      </w:r>
    </w:p>
    <w:p>
      <w:r>
        <w:t>TI Tribunale d'appello, 1998-06-12, IT</w:t>
      </w:r>
    </w:p>
    <w:p>
      <w:r>
        <w:rPr>
          <w:b/>
        </w:rPr>
        <w:t xml:space="preserve">Quelle: </w:t>
      </w:r>
      <w:r>
        <w:t>https://mcp.opencaselaw.ch/entscheid/ti_gerichte_52.1998.64</w:t>
      </w:r>
    </w:p>
    <w:p>
      <w:r>
        <w:t>FR: TI_GERICHTE 52.1998.64 du 12 juin 1998</w:t>
      </w:r>
    </w:p>
    <w:p>
      <w:r>
        <w:t>IT: TI_GERICHTE 52.1998.64 del 12 giugno 1998</w:t>
      </w:r>
    </w:p>
    <w:p>
      <w:pPr>
        <w:pStyle w:val="Heading2"/>
      </w:pPr>
      <w:r>
        <w:t>Regeste</w:t>
      </w:r>
    </w:p>
    <w:p>
      <w:r>
        <w:t>Sentenza o decisione senza scheda</w:t>
      </w:r>
    </w:p>
    <w:p>
      <w:pPr>
        <w:pStyle w:val="Heading2"/>
      </w:pPr>
      <w:r>
        <w:t>Erwägungen</w:t>
      </w:r>
    </w:p>
    <w:p>
      <w:r>
        <w:rPr>
          <w:b/>
        </w:rPr>
        <w:t>E. 1</w:t>
      </w:r>
    </w:p>
    <w:p>
      <w:r>
        <w:t>PAmm); che, giusta l'art. 74 cpv. 1 LOC, il presidente pubblica entro cinque giorni all'albo comunale le risoluzioni del consiglio comunale con l'indicazione dei mezzi e termini di ricorso nonché dei termini per l'esercizio del diritto di referendum; che inoltre, per quanto concerne specificatamente il PR, l'art. 34 cpv. 2 LALPT dispone che il municipio procede sollecitamente alla sua pubblicazione presso la cancelleria comunale per il periodo di trenta giorni, previo annuncio effettuato almeno dieci giorni prima agli albi comunali, nel foglio ufficiale e nei quotidiani del Cantone (art. 34 cpv. 3 LALPT); che la prima pubblicazione, effettuata immediatamente dopo la deliberazione dal presidente del legislativo, é volta a permettere l'esercizio del diritto di referendum e di quello di ricorso al Consiglio di Stato dapprima ed al Tribunale amministrativo successivamente (art. 208 cpv. 1 LOC) per violazione della LOC, ma in particolare della procedura prescritta da quest'ultima per addivenire alla deliberazione del consiglio comunale (STA inedite 11 febbraio 1980 in re comune di __________ e lc; 20 settembre 1984 in re A. e M.; 28 marzo 1985 in re municipio di __________, parzialmente pubbl. in RDAT 1985 N. 6; inoltre Scolari, Commentario, 2.a ed., N. 348 ad art. 35 LALPT con rinvii alla giurisprudenza precedente e la precisazione che la seconda STA citata é parzialmente pubblicata in RDAT 1979 N. 5); che la seconda pubblicazione, da eseguirsi in seguito da parte del municipio (preferibilmente dopo la scadenza inutilizzata dei termini di ricorso e di referendum stabiliti nella prima; cfr. Scolari, op. cit., N. 340 ad art. 34 LALPT), é invece volta permettere l'impugnazione innanzi al Consiglio di Stato dapprima ed al Tribunale della pianificazione del territorio successivamente del contenuto del PR (art. 35 cpv. 1, 38 cpv. 1 LALPT): é in questa procedura che può essere eccepita - e deve essere esaminata dalle autorità decidenti - tra l'altro la violazione delle disposizioni della LALPT concernenti il PR (cfr. per analogia le sentenze poco sopra citate, prolate quando il PR era ancora regolamentato a livello dell'or abrogata LE 1973); che la sola censura sollevata dal resistente innanzi al Consiglio di Stato in sede di prima pubblicazione del PR ad opera del presidente del legislativo, di disattenzione dell'art. 32 cpv. 2 e 3 LALPT, doveva pertanto essere dichiarata irricevibile e, di riflesso, il suo gravame respinto; che, in effetti, l'esame di quella censura poteva essere effettuato solo dietro ricorso contro la seconda pubblicazione del PR, che apriva la via alla contestazione del suo contenuto, da parte del Consiglio di Stato dapprima e del Tribunale della pianificazione del territorio poi (cfr., da ultimo, proprio su questo stesso oggetto, RDAT II-1997 N. 20); che il ricorso del comune di __________ deve di conseguenza essere accolto e l'impugnata risoluzione modificata nel senso di respingere il ricorso del resistente; che la tassa di giudizio deve essere posta a carico del resistente (art. 28 PAmm), il quale deve inoltre essere condannato a rifondere al comune ricorrente, assistito da un avvocato iscritto all'albo, un adeguato importo per ripetibili (art. 31 PAmm): questo per entrambe le sedi ricorsuali; visti gli art. 74, 208 LOC, 32, 34, 35, 38 LALPT, 3, 18, 28, 31, 43, 46 PAmm dichiara e pronuncia: 1.   Il ricorso é accolto. §.  Di conseguenza i dispositivi n. 1 e 2 della risoluzione 18 febbraio 1998 (n. 672) del Consiglio di Stato sono modificati come segue: "1. Il ricorso é respinto. 2.  La tassa di giudizio, di fr. 300.--, é posta a carico di __________, il quale é inoltre condannato a versare al comune di __________ identico importo per ripetibili" 2.   La tassa di giudizio, di fr. 500.--, é posta a carico di __________, il quale é inoltre condannato a versare al comune di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