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52.1998.327 vom 14. Januar 1999</w:t>
      </w:r>
    </w:p>
    <w:p>
      <w:r>
        <w:t>TI Tribunale d'appello, 1999-01-14, IT</w:t>
      </w:r>
    </w:p>
    <w:p>
      <w:r>
        <w:rPr>
          <w:b/>
        </w:rPr>
        <w:t xml:space="preserve">Quelle: </w:t>
      </w:r>
      <w:r>
        <w:t>https://mcp.opencaselaw.ch/entscheid/ti_gerichte_52.1998.327</w:t>
      </w:r>
    </w:p>
    <w:p>
      <w:r>
        <w:t>FR: TI_GERICHTE 52.1998.327 du 14 janvier 1999</w:t>
      </w:r>
    </w:p>
    <w:p>
      <w:r>
        <w:t>IT: TI_GERICHTE 52.1998.327 del 14 gennaio 1999</w:t>
      </w:r>
    </w:p>
    <w:p>
      <w:pPr>
        <w:pStyle w:val="Heading2"/>
      </w:pPr>
      <w:r>
        <w:t>Regeste</w:t>
      </w:r>
    </w:p>
    <w:p>
      <w:r>
        <w:t>Sentenza o decisione senza scheda</w:t>
      </w:r>
    </w:p>
    <w:p>
      <w:pPr>
        <w:pStyle w:val="Heading2"/>
      </w:pPr>
      <w:r>
        <w:t>Erwägungen</w:t>
      </w:r>
    </w:p>
    <w:p>
      <w:r>
        <w:rPr>
          <w:b/>
        </w:rPr>
        <w:t>E. 45</w:t>
      </w:r>
    </w:p>
    <w:p>
      <w:r>
        <w:t>LOC nel fatto che il consiglio comunale si sia indirettamente riferito ai motivi di cui all’art. 85 LOC, il ricorso va quindi accolto, ripristinando la decisione annullata dalla precedente istanza. Dato l'esito si prescinde dal prelievo di una tassa di giustizia. Per questi motivi, visti gli art. 44, 45, 85, 208 LOC; 15 RALOC; 3, 18, 28, 60, 61, 65 PAmm dichiara e pronuncia: 1.   Il ricorso è accolto. §.  di conseguenza: 1.1.   la decisione 11 novembre 1998 del Consiglio di Stato (n. 5079) è annullata. 1.2.   la decisione 6 agosto 1998 del consiglio comunale di __________ è confermata. 2.   Non si prelevano né spese, né tassa di giustizia.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