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52.1998.303 vom 23. Juni 1999</w:t>
      </w:r>
    </w:p>
    <w:p>
      <w:r>
        <w:t>TI Tribunale d'appello, 1999-06-23, IT</w:t>
      </w:r>
    </w:p>
    <w:p>
      <w:r>
        <w:rPr>
          <w:b/>
        </w:rPr>
        <w:t xml:space="preserve">Quelle: </w:t>
      </w:r>
      <w:r>
        <w:t>https://mcp.opencaselaw.ch/entscheid/ti_gerichte_52.1998.303</w:t>
      </w:r>
    </w:p>
    <w:p>
      <w:r>
        <w:t>FR: TI_GERICHTE 52.1998.303 du 23 juin 1999</w:t>
      </w:r>
    </w:p>
    <w:p>
      <w:r>
        <w:t>IT: TI_GERICHTE 52.1998.303 del 23 giugno 1999</w:t>
      </w:r>
    </w:p>
    <w:p>
      <w:pPr>
        <w:pStyle w:val="Heading2"/>
      </w:pPr>
      <w:r>
        <w:t>Regeste</w:t>
      </w:r>
    </w:p>
    <w:p>
      <w:r>
        <w:t>Sentenza o decisione senza scheda</w:t>
      </w:r>
    </w:p>
    <w:p>
      <w:pPr>
        <w:pStyle w:val="Heading2"/>
      </w:pPr>
      <w:r>
        <w:t>Erwägungen</w:t>
      </w:r>
    </w:p>
    <w:p>
      <w:r>
        <w:rPr>
          <w:b/>
        </w:rPr>
        <w:t>E. 5</w:t>
      </w:r>
    </w:p>
    <w:p>
      <w:r>
        <w:t>cpv. 1 LCMI). Per il calcolo dei contributi sono determinanti le spese totali d'esecuzione o di acquisto dell'opera, comprese quelle per i terreni necessari, le indennità, i progetti, la direzione dei lavori e gli interessi di costruzione (art. 6 cpv. 1 LCMI); eventuali sussidi sono invece da dedurre (art.</w:t>
      </w:r>
    </w:p>
    <w:p>
      <w:r>
        <w:rPr>
          <w:b/>
        </w:rPr>
        <w:t>E. 6</w:t>
      </w:r>
    </w:p>
    <w:p>
      <w:r>
        <w:t>Lstr. Il PR comunale, approvato dal Governo il 14 febbraio 1984, è difatti stato elaborato prima dell'entrata in vigore della Lstr, 1 luglio 1983. Nemmeno la variante promossa dalle autorità comunali per realizzare la strada così come presentata, approvata dal Consiglio di Stato il 26 maggio 1999, assegna una specifica qualifica all'opera viaria. Trattasi pertanto di deciderne l'indole sulla scorta delle sue caratteristiche intrinseche. Al riguardo la risposta appare agevole per il tratto di strada di circa 220 m all'interno dell'area artigianale. Questo tratto serve rispettivamente si presta oggettivamente solo a servire quale accesso ai fondi adiacenti, per cui deve necessariamente essere qualificato come opera di urbanizzazione particolare. Il residuo percorso, ovvero la frazione compresa tra l'attraversamento del riale del campo di calcio e la cantonale, permette invece di raccogliere anche il traffico motorizzato proveniente dalla finitima, sovrastante zona residenziale: secondo il catasto allestito a titolo orientativo da parte dei rappresentanti del comune durante lo svolgimento del sopralluogo una decina di costruzioni e quattro fondi ancora inedificati (di cui 2 gravati a tutt'oggi da un vincolo AP per la costruzione del campo di calcio, frattanto realizzato altrove) potrebbero in futuro far capo a quel tronco stradale per raggiungere la strada cantonale. Nel contempo questo nuovo tronco stradale permette di sgravare a titolo definitivo la zona residenziale dal traffico pesante diretto verso la zona artigianale. Queste caratteristiche non permettono però di definirlo quale opera di urbanizzazione generale. Intanto, ancorché non decisivo in concreto, anche per questo tratto, che presenta una lunghezza relativamente modesta, viene mantenuta la larghezza di m 3,5. Ma sopratutto, in secondo luogo, i suoi elementi caratterizzanti sono tutti previsti in funzione di servire la zona artigianale: anzitutto è stato previsto l'allargamento della curva a gomito sopra il riale del campo di calcio per permettere la svolta dei mezzi pesanti; il ponte sul riale Molgé è stato concepito per sopportare carichi pesanti; tanto l'andamento planimetrico (raggi di curvatura ecc.) che quello altimetrico (pendenze ecc.) della strada sono stati particolarmente approntati in funzione del transito di veicoli pesanti; la posa di mocche ai bordi della carreggiata pavimentata, la cui rinuncia avrebbe comportato un risparmio significativo, è volta a garantire la solidità del ciglio stradale, evitando la formazione di crepe dovute soprattutto ai carichi pesanti (cfr. relazione tecnica e preventivo, maggio 1998, pag. da 2 a 7). Anche questo seconda frazione di strada è pertanto finalizzata, in primo luogo, a servire la zona artigianale. Si può anzi affermare che, oggettivamente, si tratta della parte più importante, poiché è quella che realizza finalmente un collegamento adeguato della zona artigianale con la strada cantonale. Il fatto che la sua costruzione produca degli effetti benefici anche nei confronti di un manipolo di proprietà incluse nell'adiacente zona residenziale non permette di mutarne la natura, ovvero di riqualificarla quale opera di urbanizzazione generale. Per decidere in merito non è determinante il numero di fondi che possono usufruire dell'infrastruttura pubblica - che nel caso di specie rimane comunque sia molto contenuto - bensì il genere e l'entità dei vantaggi che essa procaccia agli stessi rispettivamente alla collettività. Ora, il tratto ricompreso tra l'attraversamento del riale del campo di calcio e la cantonale costituisce una valida alternativa per accedere a quest'ultima partendo dalle costruzioni residenziali sorte in zona Costa e poste nelle immediate vicinanze se non, in buona parte, direttamente a confine con quel tratto stradale. Se quindi, da un lato, vengono arrecati dei benefici specifici sia a favore delle proprietà poste nella zona artigianale che di quelle poste nell'adiacente zona residenziale, è però altrettanto certo che tali benefici sono e rimangono immediatamente circoscritti al ristretto perimetro di proprietà costituito dalle due menzionate zone. Non si manifestano anche sotto una forma più generale, in modo tale che anche ulteriori aree fabbricabili più discoste o addirittura la collettività locale ne possa beneficiare simultaneamente, per cui non é lecito parlare di urbanizzazione generale di quelle zone e tantomeno pretendere di caricare al comune una quota superiore al 30% della spesa, pena la violazione degli art. 3 cpv. 2 e 3 e 7 LCMI. Il ricorrente mal interpreta poi la portata degli atti pianificatori che hanno condotto alla variante di PR 26 maggio 1999, quando pretende che il fine principale della realizzazione sia costituito dall'allontanamento del traffico pesante dalla zona residenziale in località __________ (cfr. il rapporto pianificatorio dell'ottobre 1996 e la risoluzione di approvazione del PR 26 maggio 1999, quest'ultima pag. 3): dalla lettura di quei documenti si desume a chiare lettere che lo scopo primo dell'opera é costituito dall'urbanizzazione delle zona artigianale. D'altra parte, la deliberazione impugnata del consiglio comunale dovrebbe essere tutelata comunque sia, per lo meno nel risultato, anche se si volessero riconoscere al tratto in discussione (dall'attraversamento del riale del campo di calcio alla strada cantonale) alcune caratteristiche proprie di un'urbanizzazione generale, come ad esempio una concomitante funzione di strada di raccolta del traffico (limitato però a quello intenzionato a raggiungere la zona artigianale e l'adiacente zona residenziale), oppure il fatto che serve un comprensorio più ampio rispetto alla sola zona artigianale. In effetti in simile ipotesi l'art.</w:t>
      </w:r>
    </w:p>
    <w:p>
      <w:r>
        <w:rPr>
          <w:b/>
        </w:rPr>
        <w:t>E. 7</w:t>
      </w:r>
    </w:p>
    <w:p>
      <w:r>
        <w:t>cpv. 1 ultima frase LCMI gli conferiva all'uopo in simile ipotesi. Il ricorrente non può infine essere ascoltato quando afferma che il miglioramento di un'opera esistente può ricadere solo tra le opere di urbanizzazione generale: in effetti al di là della fondatezza della premessa fattuale da cui si diparte, la suddivisione tra opere di urbanizzazione generale e opere di urbanizzazione particolare non dipende dal genere di interventi che l'ente pubblico intende realizzare sulle stesse. 6.   Sulla scorta delle considerazioni che precedono il ricorso deve essere respinto. La tassa di giudizio deve essere posta a carico del ricorrente (art. 28 PAmm). Per questi motivi, viste le norme di legge sopraricordate, dichiara e pronuncia: 1.   Il ricorso è respinto. 2.   La tassa di giustizia e la spese, per complessivi fr. 800.--, sono poste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