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52.1998.276 vom 21. Juni 1999</w:t>
      </w:r>
    </w:p>
    <w:p>
      <w:r>
        <w:t>TI Tribunale d'appello, 1999-06-21, IT</w:t>
      </w:r>
    </w:p>
    <w:p>
      <w:r>
        <w:rPr>
          <w:b/>
        </w:rPr>
        <w:t xml:space="preserve">Quelle: </w:t>
      </w:r>
      <w:r>
        <w:t>https://mcp.opencaselaw.ch/entscheid/ti_gerichte_52.1998.276</w:t>
      </w:r>
    </w:p>
    <w:p>
      <w:r>
        <w:t>FR: TI_GERICHTE 52.1998.276 du 21 juin 1999</w:t>
      </w:r>
    </w:p>
    <w:p>
      <w:r>
        <w:t>IT: TI_GERICHTE 52.1998.276 del 21 giugno 1999</w:t>
      </w:r>
    </w:p>
    <w:p>
      <w:pPr>
        <w:pStyle w:val="Heading2"/>
      </w:pPr>
      <w:r>
        <w:t>Regeste</w:t>
      </w:r>
    </w:p>
    <w:p>
      <w:r>
        <w:t>Sentenza o decisione senza scheda</w:t>
      </w:r>
    </w:p>
    <w:p>
      <w:pPr>
        <w:pStyle w:val="Heading2"/>
      </w:pPr>
      <w:r>
        <w:t>Erwägungen</w:t>
      </w:r>
    </w:p>
    <w:p>
      <w:r>
        <w:rPr>
          <w:b/>
        </w:rPr>
        <w:t>E. 6</w:t>
      </w:r>
    </w:p>
    <w:p>
      <w:r>
        <w:t>CEDU (DTF 121 II 26, consid. 3b). In virtù di tale norma, sia in ambito penale che nell'ambito di provvedimenti amministrativi aventi carattere penale, l'autorità deve poter giudicare con pieno potere cognitivo. Anche la commisurazione della pena e della sanzione soggiace a libero esame (R. Herzog, Art. 6 EMRK und kantonale Verwaltungsrechtspflege, part. 371: A. Kley-Struller, Die Anwendung der Garantien des Art. 6 EMRK auf Verfahren betreffend den Führerausweisentzug, pag. 111 in: R. Schaffhauser, Aktuelle Fragen des Straf- und Administrativmassnahmerechts im Strassenverkehr). Perciò il Tribunale cantonale amministrativo statuisce sul ricorso in esame con pieno potere di cognizione, identico a quello di cui dispone nella giurisdizione disciplinare (art. 70 PAmm), con facoltà quindi di rivedere anche la commisurazione della sanzione. I limiti posti dall'art. 61 PAmm in relazione al controllo dell'apprezzamento non trovano applicazione, siccome contrari alle prevalenti disposizioni dell'art. 6 CEDU. 5.   5.1. L'autorità amministrativa competente ad ordinare la revoca della licenza di condurre non può di principio scostarsi dagli accertamenti di fatto contenuti in una decisione penale cresciuta in giudicato. Deve attenervisi anche se la stessa è stata emanata nell'ambito di una procedura sommaria, più precisamente qualora si fondi unicamente su di un rapporto di polizia ed eventuali testimoni siano stati uditi soltanto dagli agenti di polizia in assenza del prevenuto. L'interessato non può pretendere che in sede amministrativa si proceda ad ulteriori accertamenti quando sapeva o poteva prevedere, in ragione della gravità dei fatti che gli sono stati rimproverati, che sarebbe pure incorso in una procedura di revoca della licenza di condurre e, ciò malgrado, abbia omesso nell'ambito della procedura penale di fare valere i suoi diritti o vi abbia rinunciato (DTF 121 II 217 riportata anche in JdT 1996 pag. 698). 5.2. Nel caso in esame, gli accertamenti di polizia, sulla base dei quali è stata resa la risoluzione di multa, sono senz'altro sufficienti e completi anche ai fini della procedura amministrativa. __________ contesta che il proprio scooter potesse raggiungere la velocità potenziale di 120 km/h, asserendo che l'apparecchio Giromax ha un margine di errore per difetto di ben 30 km/h: fatto, che sarebbe notorio. L’obiezione va disattesa. Se il ricorrente avesse realmente ritenuto che la decisione di multa poggiava su fatti errati avrebbe dovuto impugnarla. È ben vero che il ricorrente è venuto a conoscenza che nei suoi confronti sarebbe stata adottata una misura amministrativa solo dopo la crescita in giudicato della decisione penale. Tuttavia vista la gravità dei fatti rimproveratigli egli doveva prevedere che ciò sarebbe accaduto e di conseguenza esaurire i rimedi di diritto a sua disposizione contro il decreto di multa. Egli fraintende lo scopo del ricorso contro una decisione di multa. Esso non costituisce infatti un mezzo discrezionale da prendere in considerazione a dipendenza di eventuali provvedimenti amministrativi che potranno essere pronunciati, bensì ha significato soltanto laddove il multato contesta di avere violato la legge e non si trova quindi d'accordo con la procedura contravvenzionale e il relativo giudizio di condanna. In tale evenienza il ricorso dev'essere sempre interposto, indipendentemente dalle procedure amministrative che potranno ancora seguire. All’insorgente va dunque preclusa ogni possibilità di mettere nuovamente in discussione fatti definitivamente accertati in sede penale. 6.   6.1. Gli estremi per la revoca della licenza di condurre a scopo di sanzione secondo l’art. 16 cpv. 2 LCStr sono dati quando il conducente di un veicolo a motore si rende colpevole di una violazione delle regole della circolazione tale da creare un accresciuto pericolo (anche solo astratto) per la sicurezza del traffico o di terzi (R. Schaffhauser, Grundriss des schweizerischen Strassenverkehrsrechts, vol. III, pag. 159 ss.). Sapere se in una ben precisa fattispecie il comportamento del conducente di un veicolo abbia dato luogo ad una situazione di accresciuto pericolo astratto o meno, non dipende dal genere di norme della circolazione violate, bensì dalle circostanze di fatto che caratterizzano il singolo caso concreto. Vi è da ammettere l'esistenza di una situazione di rischio astratto accresciuto allorquando sussiste la possibilità di una imminente messa in pericolo concreta o di un infortunio (DTF 118 IV 285 ss.; JdT 1989 pag. 671, 1990 pag. 669; 1993 pag. 689).</w:t>
      </w:r>
    </w:p>
    <w:p>
      <w:r>
        <w:rPr>
          <w:b/>
        </w:rPr>
        <w:t>E. 6.2</w:t>
      </w:r>
    </w:p>
    <w:p>
      <w:r>
        <w:t>I veicoli a motore, per essere ammessi alla circolazione, devono essere provvisti della licenza di circolazione e delle targhe di controllo (art. 10 cpv. 1 LCStr). La licenza di circolazione è rilasciata solo se il veicolo è conforme alla prescrizioni, se esso dà tutte le garanzie di sicurezza e se è stata stipulata la prescritta assicurazione RC (art. 11 cpv. 1 LCStr). La conformità del veicolo alle prescrizioni tecniche ed alle norme di sicurezza è verificata in occasione dell'esame del tipo (=omologazione) di cui all'art. 12 LCStr; l'approvazione del tipo attesta ufficialmente non solo che il veicolo esaminato è conforme alle esigenze tecniche, ma anche che è idoneo all'uso previsto (cfr. art. 2 lett. b OATV).</w:t>
      </w:r>
    </w:p>
    <w:p>
      <w:r>
        <w:rPr>
          <w:b/>
        </w:rPr>
        <w:t>E. 6.3</w:t>
      </w:r>
    </w:p>
    <w:p>
      <w:r>
        <w:t>Nel caso in esame il ricorrente ha circolato con una motoleggera che era stata manomessa in modo da poter raggiungere una velocità di 120 km/h. Egli ha quindi circolato con un veicolo non conforme ai criteri di omologazione fissati per i veicoli della categoria F, che possono circolare ad una velocità massima di 45 km/h (art. 3 cpv. 1 OAC), ossia ad una velocità di gran lunga inferiore a quella massima che poteva essere raggiunta dal suo scooter. Circolando con un veicolo gravemente difforme dal certificato di omologazione, in quanto massicciamente manomesso mediante potenziamento dell’impianto motorico, il ricorrente ha creato una situazione di accresciuto pericolo per gli altri utenti della strada. Irrilevante è il fatto che non abbia concretamente messo in pericolo la sicurezza della circolazione. Gli estremi per l’applicazione della sanzione prevista dall’art. 16 LCStr sono dati già dal fatto che il veicolo con cui l’insorgente circolava non rispondeva più, e di gran lunga, ai criteri di omologazione fissati allo scopo di garantirne la sicurezza. Uno degli scopi dell’omologazione dei veicoli è in effetti quello di assicurare che risponda ad adeguate esigenze di sicurezza e sia idoneo all'uso previsto (cfr. consid. 6.2.). Invano allega il ricorrente che lo scooter in questione sarebbe adeguatamente equipaggiato per sopportare velocità paragonabili alle motociclette di categoria A1, che l'unica differenza fra i veicoli delle due categorie consisterebbe nell'età minima richiesta per condurli (F: 16 anni ; A1: 18 anni) e che egli è comunque in possesso della licenza di condurre per veicoli della categoria A (motoveicoli di cilindrata superiore a 125 cm 3 ). La tesi liberatoria non può essere accreditata. La marca Malaguti commercializza soltanto una versione del modello Firefox F15. Quella omologata secondo i criteri fissati per la categoria F. Non ne esiste un’altra, identica per struttura e motorizzazione, ma omologata in base alle condizioni valide per i veicoli della categoria A1 in quanto capace di raggiungere velocità superiori al limite di 45 km/h prescritto per la categoria F. Non si può quindi validamente sostenere che un motociclo di quest’ultima categoria, manomesso mediante potenziamento del motore o rimozione di dispositivi volti a limitarne la velocità, risponderebbe comunque ai criteri di omologazione fissati per la categoria A1. Trattandosi nel caso del limite di velocità fissato per i veicoli della categoria F di un requisito di omologazione riconducibile ad esigenze di sicurezza, se ne deve quindi dedurre che la circolazione di un veicolo non conforme a tale requisito perfeziona comunque gli estremi di una messa in pericolo astratta. Stando così le cose, ben si giustifica che l’applicazione in capo all'insorgente di un provvedimento amministrativo retto dall'art. 16 cpv. 2 LCStr. Vista l'infrazione commessa dal ricorrente e la colpa a lui imputabile, quello in esame non può certo essere considerato come un semplice caso di lieve entità ai sensi dell'art. 16 cpv. 2 ultimo periodo LCStr, ragione per la quale va senz'altro confermata la decisione di procedere ad una revoca della licenza di condurre. 7.   Resta a questo punto da esaminare se la durata del provvedimento, stabilita dalla Sezione della circolazione ed in seguito ridotta a due mesi dal Consiglio di Stato, presti il fianco a critiche. Da quando il ricorrente ha ottenuto la licenza di condurre, egli non è mai stato oggetto di provvedimenti amministrativi. La sua reputazione quale conducente è quindi integra. Oltre a ciò si deve considerare che egli necessita della licenza di condurre per motivi professionali, essendo meccanico di cicli e motociclette e lavorando in proprio. In siffatte evenienze la revoca della licenza di condurre per un periodo di due mesi appare equa e proporzionata alla gravità dell'infrazione commessa. Pertanto anche su questo punto la decisione del Consiglio di Stato dev'essere confermata. 8.   Stante quanto procede, il ricorso va respinto. La tassa di giustizia e le spese seguono la soccombenza (art. 28 PAmm). Per questi motivi, visti gli art. 6 CEDU; 4 Cost.; 16 cpv. 2 e 17 cpv. 1 lett. a LCStr; 10 LALCStr; 3 cpv. 1 e 33 cpv. 2 OAC; 1 ss. PAmm, dichiara e pronuncia: 1.   Il ricorso è respinto. 2.   La tassa di giustizia e le spese per complessivi fr. 800.-- sono a carico del ricorrente. 3.   Conto la presente decisione è dato ricorso di diritto amministrativo al Tribunale federale di Losanna nel termine di 30 giorni dall'intimazione.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