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52.1998.272 vom 2. April 1999</w:t>
      </w:r>
    </w:p>
    <w:p>
      <w:r>
        <w:t>TI Tribunale d'appello, 1999-04-02, IT</w:t>
      </w:r>
    </w:p>
    <w:p>
      <w:r>
        <w:rPr>
          <w:b/>
        </w:rPr>
        <w:t xml:space="preserve">Quelle: </w:t>
      </w:r>
      <w:r>
        <w:t>https://mcp.opencaselaw.ch/entscheid/ti_gerichte_52.1998.272</w:t>
      </w:r>
    </w:p>
    <w:p>
      <w:r>
        <w:t>FR: TI_GERICHTE 52.1998.272 du 2 avril 1999</w:t>
      </w:r>
    </w:p>
    <w:p>
      <w:r>
        <w:t>IT: TI_GERICHTE 52.1998.272 del 2 aprile 1999</w:t>
      </w:r>
    </w:p>
    <w:p>
      <w:pPr>
        <w:pStyle w:val="Heading2"/>
      </w:pPr>
      <w:r>
        <w:t>Regeste</w:t>
      </w:r>
    </w:p>
    <w:p>
      <w:r>
        <w:t>Sentenza o decisione senza scheda</w:t>
      </w:r>
    </w:p>
    <w:p>
      <w:pPr>
        <w:pStyle w:val="Heading2"/>
      </w:pPr>
      <w:r>
        <w:t>Erwägungen</w:t>
      </w:r>
    </w:p>
    <w:p>
      <w:r>
        <w:rPr>
          <w:b/>
        </w:rPr>
        <w:t>E. 23</w:t>
      </w:r>
    </w:p>
    <w:p>
      <w:r>
        <w:t>N. 48). Se l'interessato è sposato, per congiunti si intendono di regola il coniuge e i diretti discendenti. Il vincolo matrimoniale prevale sul vincolo di filiazione, per quanto quest'ultimo sia rimasto intenso e vissuto dopo il matrimonio. Il ricorrente si reca certo tutti i giorni ad __________ dai genitori per il pranzo e, se gli necessita, quando assolve i turni notturni, anche per dormire. Ma tale comportamento è dettato da motivi di comodo, tant'è vero che non appena ha assolto gli impegni professionali e politici, lascia i genitori per raggiungere nel tempo libero la consorte con cui di fatto coabita a __________ in un appartamento divenuto stabile residenza coniugale. Poco importa se ciò non avviene quotidianamente o per periodi limitati. Resta il fatto, determinante per la posizione del ricorrente, che quando egli si ricongiunge con la moglie, non è quest'ultima che si sposta verso il suo centro di interessi, che egli pretende essere ad __________, bensì egli la raggiunge in territorio di __________. 3.3. Nemmeno in ragione del fatto che lavora ad __________, il ricorrente può pretendere di mantenervi il suo domicilio. Il luogo di lavoro assurge a domicilio soltanto quando le relazioni personali con esso appaiono più strette ed intense di quelle intrattenute con un luogo d'abitazione scelto per lo più per caso che per altri motivi. Il ricorrente non può certo affermare che il comune di __________, luogo dove da sempre è domiciliata la moglie, sia stato scelto per caso quale luogo d'abitazione. Il luogo di lavoro è di regola considerato prevalente come domicilio di polizia quando l'interessato intrattiene con esso una relazione personale particolarmente intensa, ad esempio quando vi deposita gli effetti personali, vi trascorre il proprio tempo libero in un'abitazione personale e vi archivia la propria corrispondenza (Spühler, op. cit., pag. 343, N. 5). Ciò non è il caso per il ricorrente, per quanto egli abbia una posizione di responsabilità nell'ambito di un rapporto di lavoro dipendente, rispettivamente abbia orari di lavoro irregolari e impegnativi. 3.4. Infine, gli impegni politici e sociali non possono in nessun caso costituire un pretesto per il mantenimento del domicilio ad Airolo. Subito dopo il matrimonio, anche in ragione della presidenza del consiglio comunale di __________, appariva ancora ragionevole concedere al ricorrente di rimanere temporaneamente domiciliato ad __________, come peraltro il municipio di __________ ha tollerato. Ora invece, a maggior ragione con l'avvicinarsi di un nuovo periodo di legislatura comunale, tale concessione non si giustifica più, non sussistendo più motivi di interesse pubblico. Mantenere il domicilio ad __________ con conseguente possibilità di continuare ad esercitarvi i diritti politici, è ora nel solo interesse personale del ricorrente. Tale situazione non può essere tollerata laddove non sono dati, come è qui il caso, i presupposti di domicilio. L'impegno e la competenza politica del ricorrente non verrebbero certo sminuiti o ostacolati a __________, dove egli ha le stesse possibilità di rendersi attivo e di mettersi al servizio della cosa pubblica. 4.   Stando così le cose, il gravame deve essere respinto con conseguente accollamento di tasse e spese al ricorrente. Per questi motivi, visti gli art. 45 Cost, 23 CC, 6, 106, 208 LOC, 3, 18, 28, 31, 60, 61, 65 PAmm; dichiara e pronuncia: 1.   Il ricorso è respinto. 2.   La tassa di giustizio di fr. 800.-- è a carico del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