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52.1998.204 vom 8. Februar 1999</w:t>
      </w:r>
    </w:p>
    <w:p>
      <w:r>
        <w:t>TI Tribunale d'appello, 1999-02-08, IT</w:t>
      </w:r>
    </w:p>
    <w:p>
      <w:r>
        <w:rPr>
          <w:b/>
        </w:rPr>
        <w:t xml:space="preserve">Quelle: </w:t>
      </w:r>
      <w:r>
        <w:t>https://mcp.opencaselaw.ch/entscheid/ti_gerichte_52.1998.204</w:t>
      </w:r>
    </w:p>
    <w:p>
      <w:r>
        <w:t>FR: TI_GERICHTE 52.1998.204 du 8 février 1999</w:t>
      </w:r>
    </w:p>
    <w:p>
      <w:r>
        <w:t>IT: TI_GERICHTE 52.1998.204 del 8 febbraio 1999</w:t>
      </w:r>
    </w:p>
    <w:p>
      <w:pPr>
        <w:pStyle w:val="Heading2"/>
      </w:pPr>
      <w:r>
        <w:t>Regeste</w:t>
      </w:r>
    </w:p>
    <w:p>
      <w:r>
        <w:t>Sentenza o decisione senza scheda</w:t>
      </w:r>
    </w:p>
    <w:p>
      <w:pPr>
        <w:pStyle w:val="Heading2"/>
      </w:pPr>
      <w:r>
        <w:t>Erwägungen</w:t>
      </w:r>
    </w:p>
    <w:p>
      <w:r>
        <w:rPr>
          <w:b/>
        </w:rPr>
        <w:t>E. 18</w:t>
      </w:r>
    </w:p>
    <w:p>
      <w:r>
        <w:t>cpv. 1, 21 cpv. 1 LCons). Questa situazione, ovviamente ben nota ai consorziati poiché riconducibile esclusivamente al loro stesso comportamento, é dovuta al fatto che il decreto di istituzione del consorzio aveva affidato direttamente al comune di __________ l'esecuzione della manutenzione delle opere stradali ed il compito di incassare le partecipazioni ai costi degli altri consorziati (cfr. in particolare i dispositivi n. 5 e 7 del decreto di istituzione del consorzio 20 febbraio 1956): donde l'inutilità di mantenere in funzione l'apparato organizzativo dell'ente. In sostanza il consorzio in esame si é trasformato, per tacito accordo dei suoi membri, in un caso di partecipazione ai costi di manutenzione di un'opera di pubblica utilità ai sensi dell'art. 31bis LCons, ovvero senza necessità di costituire un consorzio. Questo non significa tuttavia che la validità dell'avversata decisione del municipio di __________ possa essere messa in forse. Intanto perché essa può validamente fondarsi sul decreto costitutivo del consorzio. In secondo luogo perché la competenza a tanto del municipio di __________ - che, peraltro il ricorrente nemmeno contesta espressamente -  é il frutto di un accordo tacito sorto tra i consorziati e dagli stessi rispettato per più decenni: disconoscerlo a questo momento, oltretutto con il solo fine di favorire il processo di scioglimento del consorzio, sarebbe contrario al principio della buona fede. 2.3. Se pertanto il comune di __________ intende conseguire al più presto lo scioglimento del consorzio dovrà sollecitare la trattazione della sua asserita, pendente domanda al Governo cantonale (art. 28 LCons). Inversamente, se intende riattivare il funzionamento di questo ente a norma della LCons e del regolamento consortile dovrà farsi parte diligente presso gli altri consorziati, ma in particolare presso il comune di __________, cui il Governo ha delegato l'esperimento degli incombenti di cui all'art. 12 LCons (cfr. dispositivo n. 1 in fine del decreto di costituzione del consorzio 20 febbraio 1956), chiedendo in primo luogo la convocazione di un'assemblea, cui spetterà il compito di nominare la delegazione consortile e il presidente (art. da 12 a 14 LCons). 3.   Sulla scorta di quanto precede il ricorso deve essere respinto. La tassa di giudizio deve essere posta a carico del ricorrente, intervenuto a tutela di interessi economici propri (art. 28 PAmm). Per questi motivi, visti gli art. 12, 13, 14, 17, 18, 21, 28, 31bis, 208 LOC, 28, 43, 46 PAmm dichiara e pronuncia: 1.   Il ricorso é respinto. 2.   La tassa di giudizio, di fr. 500.--, é posta a carico del comune di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