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52.1998.172 vom 12. August 1998</w:t>
      </w:r>
    </w:p>
    <w:p>
      <w:r>
        <w:t>TI Tribunale d'appello, 1998-08-12, IT</w:t>
      </w:r>
    </w:p>
    <w:p>
      <w:r>
        <w:rPr>
          <w:b/>
        </w:rPr>
        <w:t xml:space="preserve">Quelle: </w:t>
      </w:r>
      <w:r>
        <w:t>https://mcp.opencaselaw.ch/entscheid/ti_gerichte_52.1998.172</w:t>
      </w:r>
    </w:p>
    <w:p>
      <w:r>
        <w:t>FR: TI_GERICHTE 52.1998.172 du 12 août 1998</w:t>
      </w:r>
    </w:p>
    <w:p>
      <w:r>
        <w:t>IT: TI_GERICHTE 52.1998.172 del 12 agosto 1998</w:t>
      </w:r>
    </w:p>
    <w:p>
      <w:pPr>
        <w:pStyle w:val="Heading2"/>
      </w:pPr>
      <w:r>
        <w:t>Volltext</w:t>
      </w:r>
    </w:p>
    <w:p>
      <w:r>
        <w:t>Incarto n.52.98.00172</w:t>
      </w:r>
    </w:p>
    <w:p>
      <w:r>
        <w:t>Lugano</w:t>
      </w:r>
    </w:p>
    <w:p>
      <w:r>
        <w:t>12 agosto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15 giugno 1998 di</w:t>
      </w:r>
    </w:p>
    <w:p>
      <w:r>
        <w:t>__________</w:t>
      </w:r>
    </w:p>
    <w:p>
      <w:r>
        <w:t>patrocinato da: avv. __________ c/o Studio legale __________</w:t>
      </w:r>
    </w:p>
    <w:p>
      <w:r>
        <w:t>contro</w:t>
      </w:r>
    </w:p>
    <w:p>
      <w:r>
        <w:t>la decisione 26 maggio 1998 n. 2372 del Consiglio di Stato, che respinge l'impugnativa presentata dall'insorgente avverso la decisione 26 marzo 1998 della Sezione della circolazione del Dipartimento delle istituzioni, con la quale gli ha revocato la licenza di condurre veicoli a motore a tempo indeterminato;</w:t>
      </w:r>
    </w:p>
    <w:p>
      <w:r>
        <w:t>preso atto che in data 6 agosto 1998 la patrocinatrice del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