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52.1998.142 vom 30. Juni 1998</w:t>
      </w:r>
    </w:p>
    <w:p>
      <w:r>
        <w:t>TI Tribunale d'appello, 1998-06-30, IT</w:t>
      </w:r>
    </w:p>
    <w:p>
      <w:r>
        <w:rPr>
          <w:b/>
        </w:rPr>
        <w:t xml:space="preserve">Quelle: </w:t>
      </w:r>
      <w:r>
        <w:t>https://mcp.opencaselaw.ch/entscheid/ti_gerichte_52.1998.142</w:t>
      </w:r>
    </w:p>
    <w:p>
      <w:r>
        <w:t>FR: TI_GERICHTE 52.1998.142 du 30 juin 1998</w:t>
      </w:r>
    </w:p>
    <w:p>
      <w:r>
        <w:t>IT: TI_GERICHTE 52.1998.142 del 30 giugno 1998</w:t>
      </w:r>
    </w:p>
    <w:p>
      <w:pPr>
        <w:pStyle w:val="Heading2"/>
      </w:pPr>
      <w:r>
        <w:t>Regeste</w:t>
      </w:r>
    </w:p>
    <w:p>
      <w:r>
        <w:t>Sentenza o decisione senza scheda</w:t>
      </w:r>
    </w:p>
    <w:p>
      <w:pPr>
        <w:pStyle w:val="Heading2"/>
      </w:pPr>
      <w:r>
        <w:t>Erwägungen</w:t>
      </w:r>
    </w:p>
    <w:p>
      <w:r>
        <w:rPr>
          <w:b/>
        </w:rPr>
        <w:t>E. 11</w:t>
      </w:r>
    </w:p>
    <w:p>
      <w:r>
        <w:t>LIns conferisce infatti al Dipartimento la facoltà di stabilire un limite massimo di esposizione e di vietare che altre insegne si aggiungano a quelle già esposte, e ciò in prospettiva sia di salvaguardare l'assetto architettonico e paesaggistico sia di garantire la sicurezza del traffico. 4.   In conclusione, la decisione impugnata, non procedendo da un esercizio scorretto del potere di apprezzamento che la legge riserva all'autorità decidente, risulta immune da violazioni del diritto, e deve pertanto essere confermata. Per questi motivi, visti gli art. 2, 4, 9 d, 11, 17, LIns, 4 RLIns, 95 ss OSStr, 3, 18, 28, 43, 60, 61 PAmm; dichiara e pronuncia: 1.   Il ricorso è respinto. 2.   La tassa di giustizia e le spese di complessivi fr. 800.-- sono poste a carico della ricorrente.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