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52.1997.381 vom 2. März 1998</w:t>
      </w:r>
    </w:p>
    <w:p>
      <w:r>
        <w:t>TI Tribunale d'appello, 1998-03-02, IT</w:t>
      </w:r>
    </w:p>
    <w:p>
      <w:r>
        <w:rPr>
          <w:b/>
        </w:rPr>
        <w:t xml:space="preserve">Quelle: </w:t>
      </w:r>
      <w:r>
        <w:t>https://mcp.opencaselaw.ch/entscheid/ti_gerichte_52.1997.381</w:t>
      </w:r>
    </w:p>
    <w:p>
      <w:r>
        <w:t>FR: TI_GERICHTE 52.1997.381 du 2 mars 1998</w:t>
      </w:r>
    </w:p>
    <w:p>
      <w:r>
        <w:t>IT: TI_GERICHTE 52.1997.381 del 2 marzo 1998</w:t>
      </w:r>
    </w:p>
    <w:p>
      <w:pPr>
        <w:pStyle w:val="Heading2"/>
      </w:pPr>
      <w:r>
        <w:t>Regeste</w:t>
      </w:r>
    </w:p>
    <w:p>
      <w:r>
        <w:t>Sentenza o decisione senza scheda</w:t>
      </w:r>
    </w:p>
    <w:p>
      <w:pPr>
        <w:pStyle w:val="Heading2"/>
      </w:pPr>
      <w:r>
        <w:t>Erwägungen</w:t>
      </w:r>
    </w:p>
    <w:p>
      <w:r>
        <w:rPr>
          <w:b/>
        </w:rPr>
        <w:t>E. 18</w:t>
      </w:r>
    </w:p>
    <w:p>
      <w:r>
        <w:t>PAmm); che a norma dell'art. 14 LPT i  piani di utilizzazione (PR) disciplinano l'uso ammissibile del suolo; sono gli strumenti di programmazione delle attività di incidenza territoriale a livello comunale (art. 24 LALPT); che i piani regolatori si compongono di un rapporto di pianificazione, di rappresentazioni grafiche, di norme di attuazione e di un programma di realizzazione (art. 26 LALPT); che le rappresentazioni grafiche comprendono di regola il piano del paesaggio, il piano delle zone, il piano del traffico, il piano delle attrezzature e delle costruzioni d'interesse pubblico e quello (indicativo) dei servizi pubblici (art. 28 cpv. 1 LALPT); che le rappresentazioni grafiche stabiliscono, fra l'altro, i fondi destinati a zone per i servizi e le attrezzature d'interesse pubblico (art. 28 cpv. 2 lett. d LALPT), nonché la rete delle vie di comunicazione per i mezzi di trasporto pubblici e privati con la precisazione delle linee di arretramento, le vie ciclabili e pedonali, i sentieri e i posteggi pubblici (art. 28 cpv. 2 lett. p LALPT); che per principio l'ente pubblico deve attenersi alle indicazioni contenute nei piani delle zone e del traffico; non può scostarsene a piacimento in fase di attuazione; che se l'ente pubblico è costretto in fase di realizzazione delle opere prevsite a scostarsi da tali piani per adattarli alle mutate circostanze, esso deve promuovere le procedure di variante previste dalla LALPT; l’ente pubblico non può conseguire tale risultato attraverso la procedura di rilascio del permesso di costruzione: tale procedura è riservata alla mera attuazione del piano (cfr. DTF 113 Ib 374 consid. 5; 112 Ib 413 consid. 1c; STA 29 aprile 1993 in re C., pubblicata in RDAT II-1993 N. 36; 3 aprile 1990 in re Comune di __________); che l'opposta tesi comporterebbe infatti un'inammissibile elusione dei diritti spettanti ai cittadini ed agli altri interessati in base alla LALPT nell'ambito dell'adozione del PR (STA 27 agosto 1997 in re D. e llcc; 11 aprile 1986 e DTF 30 dicembre 1986 in re Comune di __________); che, in concreto, il controverso posteggio si scosta in misura significativa dalle indicazioni del PR comunale: verso W sconfina dalla zona edificabile, occupando una porzione di terreno di circa 30-35 mq superiore a quella riservatagli dal piano delle zone e da quello del traffico, mentre verso S invade e sopprime il passaggio attraverso il quale si accede al nucleo di __________; che con una superficie di ca 330 mq, il posteggio risulta quindi ben più capiente di quello previsto dal PR vigente (ca 230 mq); che, non trattandosi di una difformità dovuta ad imprecisioni della raffigurazione cartografica e rientrante nei limiti di una ragionevole tolleranza, l’opera in contestazione, così com’è prevista, non può pertanto essere autorizzata; che, non trattandosi nemmeno di un difetto facilmente emendabile rilasciando una licenza edilizia subordinata a clausole accessorie, il giudizio governativo impugnato va senz’altro confermato siccome immune da violazioni del diritto; che la tassa di giustizia e le ripetibili seguono la soccombenza; visti gli art. 14, 22 LPT; 26, 28 LALPT; 21 LE; 3, 18, 28, 60, 61 PAmm, dichiara e pronuncia: 1.   Il ricorso è respinto. 2.   La tassa di giustizia di fr. 600.-- è a carico del comune, che rifonderà fr. 400.- alla resistente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