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52.1997.360 vom 7. Dezember 1998</w:t>
      </w:r>
    </w:p>
    <w:p>
      <w:r>
        <w:t>TI Tribunale d'appello, 1998-12-07, IT</w:t>
      </w:r>
    </w:p>
    <w:p>
      <w:r>
        <w:rPr>
          <w:b/>
        </w:rPr>
        <w:t xml:space="preserve">Quelle: </w:t>
      </w:r>
      <w:r>
        <w:t>https://mcp.opencaselaw.ch/entscheid/ti_gerichte_52.1997.360</w:t>
      </w:r>
    </w:p>
    <w:p>
      <w:r>
        <w:t>FR: TI_GERICHTE 52.1997.360 du 7 décembre 1998</w:t>
      </w:r>
    </w:p>
    <w:p>
      <w:r>
        <w:t>IT: TI_GERICHTE 52.1997.360 del 7 dicembre 1998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44</w:t>
      </w:r>
    </w:p>
    <w:p>
      <w:r>
        <w:t>mq ca. di spazio a O del suo stabile e di trarre dalla permuta un piccolo quanto apprezzabile vantaggio indiretto. 4.   Ferme queste premesse, il ricorso va quindi respinto, confermando - siccome immune da violazioni del diritto - la decisione impugnata (art. 61 PAmm). La tassa di giustizia segue la soccombenza (art. 28 PAmm). Per questi motivi, visti gli art. 83 ss. LRPT; 18, 28, 31, 43, 46 e 60 ss. PAmm, dichiara e pronuncia: 1.   Il ricorso è respinto. 2.   La tassa di giudizio di fr. 800.- è posta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