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52.1997.337 vom 3. Februar 1998</w:t>
      </w:r>
    </w:p>
    <w:p>
      <w:r>
        <w:t>TI Tribunale d'appello, 1998-02-03, IT</w:t>
      </w:r>
    </w:p>
    <w:p>
      <w:r>
        <w:rPr>
          <w:b/>
        </w:rPr>
        <w:t xml:space="preserve">Quelle: </w:t>
      </w:r>
      <w:r>
        <w:t>https://mcp.opencaselaw.ch/entscheid/ti_gerichte_52.1997.337</w:t>
      </w:r>
    </w:p>
    <w:p>
      <w:r>
        <w:t>FR: TI_GERICHTE 52.1997.337 du 3 février 1998</w:t>
      </w:r>
    </w:p>
    <w:p>
      <w:r>
        <w:t>IT: TI_GERICHTE 52.1997.337 del 3 febbraio 1998</w:t>
      </w:r>
    </w:p>
    <w:p>
      <w:pPr>
        <w:pStyle w:val="Heading2"/>
      </w:pPr>
      <w:r>
        <w:t>Regeste</w:t>
      </w:r>
    </w:p>
    <w:p>
      <w:r>
        <w:t>Sentenza o decisione senza scheda</w:t>
      </w:r>
    </w:p>
    <w:p>
      <w:pPr>
        <w:pStyle w:val="Heading2"/>
      </w:pPr>
      <w:r>
        <w:t>Erwägungen</w:t>
      </w:r>
    </w:p>
    <w:p>
      <w:r>
        <w:rPr>
          <w:b/>
        </w:rPr>
        <w:t>E. 1</w:t>
      </w:r>
    </w:p>
    <w:p>
      <w:r>
        <w:t>PAmm). 2.   L'art. 11 cpv. 1 ODDS dispone che prima di concedere il permesso di domicilio ad uno straniero, l'autorità esaminerà ancora una volta a fondo come si sia comportato fino allora. Giusta l'art. 17 cpv. 2 ultimo periodo LDDS, il diritto dello straniero al rilascio del permesso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sollecitato. Considerato dunque che una violazione minore dell'ordine pubblico è una ragione sufficiente per rifiutare la concessione del permesso, l'interesse privato dello straniero e della sua famiglia a rimanere in Svizzera ha, nell'ambito della ponderazione degli interessi pubblici e privati in presenza meno importanza che se si fosse trattato di un'espulsione (DTF 120 Ib 130 consid. 4a). Non è tuttavia necessario, né sufficiente, che il comportamento dell'interessato sia punibile: l'ordine pubblico può infatti essere minacciato non solo mediante la violazione di norme giuridiche, ma anche con il mancato rispetto delle strutture sociali o di importanti valori morali (STF 18 marzo 1994 in re F. e M. consid. 4). 3.   In concreto, le autorità inferiori ritengono che l'ordine pubblico sarebbe stato violato dal ricorrente, poiché avrebbe interessato i servizi di polizia e giudiziari. 3.1. Dagli accertamenti esperiti da questo Tribunale risulta che al ricorrente la Sezione della circolazione con decisione 22 settembre 1992 ha revocato, per infrazione grave alle relative norme, la licenza di condurre dal 29 agosto al 28 novembre 1992 poiché circolò il 29 agosto 1992 a velocità eccessiva accertata in circa 90 km/h su un limite di 50 km/h. La perizia alcoolometrica ha dato un risultato dell'1.19 - 1.55 per mille corrispondente ad uno stato leggero fino a forte influsso alcoolico che più non consente la corretta guida di un veicolo a motore. A conseguenza di tale infrazione, egli è stato oggetto di un decreto di accusa del Procuratore pubblico per circolazione in stato di ebrietà con condanna al pagamento di una multa di fr. 1200.– e delle spese di fr. 650.–. Ora, come correttamente fa notare l'insorgente, tale episodio risale a più di cinque anni fa e rimane un episodio isolato. Non risulta agli atti che l'interessato da allora abbia recidivato o che sia dedito all'alcool, tanto che dal rapporto peritale 12 dicembre 1996 (pag. 14) il dott. med. _________, psichiatra e psicoterapeuta FMH, relativo all'esercizio dell'autorità parentale relativa alla figlia __________ ha dichiarato che egli "non abusa di sostanze alcoliche né di sostanze stupefacenti". 3.2. Sempre dagli accertamenti esperiti da questo Tribunale, presso il Ministero pubblico figura che il 24 marzo 1992 fu sporta una querela da parte di __________ contro il ricorrente, __________ e __________ per vie di fatto e minacce. Nella propria decisione, l'autorità di prime cure e l'Esecutivo cantonale danno importanza a tale procedimento. Se non che nei confronti del ricorrente è stato emanato un decreto di abbandono del procedimento penale il 5 maggio 1992 per recesso di querela. Ne consegue che l'abbandono del procedimento non può essere posto a fondamento per considerare che il ricorrente avrebbe violato l'ordine pubblico. 3.3. La decisione impugnata si basa pure sulla risoluzione della Delegazione tutoria di __________ che priva i genitori __________ della custodia parentale relativa alla figlia __________ (occorre di transenna sottolineare come l'affidamento fu consigliato dai servizi medico-sociali di __________ in quanto entrambi i genitori lavoravano). Tale risoluzione prende origine dal fatto che il Servizio medico-psicologico di __________ comunicò alla Delegazione tutoria che __________ appariva sofferente, __________, regredita globalmente, che un medico aveva visitato la piccola riscontrando ecchimosi sulla spalla destra, sul braccio destro, sul gomito destro e che - interrogata - la bambina aveva indicato il padre come autore dei maltrattamenti quando le prendevano crisi di vomito (perizia, pag. 21 e 29). La decisione è stata confermata dalla prima Camera civile del Tribunale di appello il 20 maggio 1997, ma con altre motivazioni. Come fa giustamente rilevare il ricorrente, le ragioni per le quali si è giunti a tale provvedimento non sono da ricercare in un suo comportamento contrario alla legge o ai valori sociali e morali del nostro Paese. Come considerato nella sentenza d'appello (consid. 6 e confermata dal Tribunale federale il 25 agosto 1997), l'autorità di vigilanza statuendo sul ricorso contro la decisione della Delegazione tutoria - pur giudicando con "una certa prudenza" la capacità dei coniugi __________ ad assolvere loro ruolo di genitori - non ha confermato la privazione della custodia parentale per i motivi segnalati in precedenza (art. 310 cpv. 1 CC), bensì perché i genitori si varrebbero della custodia per esigere l'immediato trasferimento della figlia, la quale si trova fin dall'età di pochi mesi presso una famiglia affidataria, a __________ (art. 310 cpv. 3 CC). Ora, anche senza sottovalutare il certificato medico 21 febbraio 1996 il dott. __________ di __________, specialista in medicina generale, attestante le note ecchimosi provocate "dalla mano destra di un adulto" (sentenza ICCA, ibidem), l'autorità di vigilanza non ha dedotto da tale certificato l'incapacità educativa dei coniugi __________, ma si è limitata a esprimere "una certa prudenza". Di conseguenza, l'atteggiamento assunto dal padre nella procedura di privazione della custodia parentale non denota ancora quell'intensità tale per porsi a fondamento della misura presa dalla Sezione degli stranieri, tra l'altro carente negli accertamenti in quanto presa quando la causa civile non era ancora conclusa. 4.   Di conseguenza non risultano in specie elementi sufficienti atti a ritenere che il ricorrente ha avuto a partire dalla sua entrata in Svizzera un comportamento di gravità tale da sancirne una violazione dell'ordine pubblico. Anche il fatto che egli si trova attualmente in disoccupazione non giustifica ancora il diniego del permesso sollecitato a maggior ragione dal momento che dalla tipografia fu licenziato non per sua colpa, bensì per mancanza di lavoro. Il ricorso va dunque accolto e le decisioni delle autorità inferiori annullate. 5.   Visto l'esito del ricorso, si prescinde dal prelievo di una tassa di giustizia e delle spese. Lo Stato del Cantone Ticino deve però rifondere al ricorrente, assistito da un legale, un'adeguata indennità per ripetibili (art. 31 PAmm). Per questi motivi, visti gli art. 1, 4, 17, 11 LDDS; 16 ODDS; 8 CEDU; 100 cpv. 1 lett. b n. 3 OG; 1 della Legge transitoria di applicazione dell'art. 98a della legge federale sull'organizzazione giudiziaria in materia di diritto degli stranieri del 12 marzo 1997; 3, 18, 28, 43, 46, 60, 61 PAmm; dichiara e pronuncia: 1.   Il ricorso è accolto. §.   Di conseguenza: 1.1.   sono annullate: a)    la risoluzione 12 novembre 1997 (n. 5742) del Consiglio di Stato; b)    la decisione 26 aprile 1996 del Dipartimento delle istituzioni, Sezione degli stranieri. 2.   Gli atti sono ritornati alla Sezione degli stranieri affinché rilasci a __________, cittadino marocchino il permesso di domicilio richiesto. 3.   Non si prelevano tasse né spese di giustizia. Lo Stato del Cantone Ticino rifonderà al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