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52.1997.243 vom 22. Oktober 1997</w:t>
      </w:r>
    </w:p>
    <w:p>
      <w:r>
        <w:t>TI Tribunale d'appello, 1997-10-22, IT</w:t>
      </w:r>
    </w:p>
    <w:p>
      <w:r>
        <w:rPr>
          <w:b/>
        </w:rPr>
        <w:t xml:space="preserve">Quelle: </w:t>
      </w:r>
      <w:r>
        <w:t>https://mcp.opencaselaw.ch/entscheid/ti_gerichte_52.1997.243</w:t>
      </w:r>
    </w:p>
    <w:p>
      <w:r>
        <w:t>FR: TI_GERICHTE 52.1997.243 du 22 octobre 1997</w:t>
      </w:r>
    </w:p>
    <w:p>
      <w:r>
        <w:t>IT: TI_GERICHTE 52.1997.243 del 22 ottobre 1997</w:t>
      </w:r>
    </w:p>
    <w:p>
      <w:pPr>
        <w:pStyle w:val="Heading2"/>
      </w:pPr>
      <w:r>
        <w:t>Regeste</w:t>
      </w:r>
    </w:p>
    <w:p>
      <w:r>
        <w:t>Sentenza o decisione senza scheda</w:t>
      </w:r>
    </w:p>
    <w:p>
      <w:pPr>
        <w:pStyle w:val="Heading2"/>
      </w:pPr>
      <w:r>
        <w:t>Erwägungen</w:t>
      </w:r>
    </w:p>
    <w:p>
      <w:r>
        <w:rPr>
          <w:b/>
        </w:rPr>
        <w:t>E. 1</w:t>
      </w:r>
    </w:p>
    <w:p>
      <w:r>
        <w:t>LOC, il preventivo deve contenere le previsioni sui ricavi e sulle spese della gestione corrente con esplicita indicazione del fabbisogno da coprire con l'imposta comunale. Il preventivo della gestione corrente deve riportare tutte le entrate e le uscite ricorrenti normalmente ogni anno in forza di legge, di regolamenti, di convenzioni o di impegno contrattuali (cfr. art. 48 lett. a DELOC, RL 11.5.1.2; Ratti, Il comune, vol. III, 1924). Esso autorizza il municipio a procedere ad una determinata spesa sino a concorrenza dell'importo fissato (art. 16 cpv. 1 RGFCC, RL 2.1.2.1). Per principio, l'iscrizione di una determinata spesa a preventivo presuppone che la stessa sia sorretta dalla necessaria base legale. Tale principio non è tuttavia assoluto. Per essere attendibile il preventivo deve infatti comprendere anche le spese prevedibili, ma non ancora sorrette da una valida base legale. Lo si deduce chiaramente dall'art. 17 cpv. 3 RGFCC che impone di allibrare anche queste uscite, evidenziando in modo chiaro i crediti relativi e disponendo che rimangano bloccati sino all'entrata in vigore della base legale. 2.2. Nel caso concreto, il legislativo comunale di __________ ha esposto a preventivo un'uscita di fr. 53'500.-- per il servizio "__________", che avrebbe dovuto essere istituito in base alla convenzione sottoscritta dal municipio con le __________. Ora, tale convenzione non è ancora stata sottoposta al consiglio comunale per l'adozione. Non essendo nemmeno stata pubblicata ed approvata dal Consiglio di Stato, come previsto dagli art. 193 cpv. 3 e 188 seg. LOC essa non può quindi ancora costituire una valida base legale per autorizzare il municipio a versare alle __________ l'indennità pattuita. Il fatto che il Consiglio di Stato l'abbia già esaminata nell'ambito del ricorso inoltrato dagli insorgenti contro la risoluzione di approvazione del preventivo 1997 non permette di considerare data la base legale mancante, prescindendo dalle formalità prescritte dalle succitate norme di legge. Anche se non è ancora sorretta dalla necessaria base legale, l'uscita poteva (doveva) nondimeno essere iscritta a preventivo siccome prevedibile. L'iscrizione doveva tuttavia aver luogo con riserva, evidenziando in modo chiaro che il credito relativo sarebbe stato bloccato sino all'approvazione della convenzione da parte del Governo. Condizione, questa, che in concreto non risulta soddisfatta e che nemmeno il Consiglio di Stato, evadendo pilatescamente a’ sensi dei considerandi il ricorso inoltratogli, ha posto in risalto. 3.   Ferme queste premesse, il ricorso, in quanto ricevibile, va quindi parzialmente accolto, annullando la decisione governativa impugnata e confermando l'iscrizione a preventivo della spesa prevista per il servizio "__________" (rettificata in fr. 53'250.--, perché l'IVA dovuta su fr. 50'000.-- ammonta soltanto a fr. 3'250.--) alla condizione che il credito resti bloccato sino al momento in cui il Consiglio di Stato avrà approvato la convenzione sottoscritta dal comune con la __________. 4.   Dato l'esito, si prescinde dal prelievo di una tassa di giustizia. Le ripetibili seguono invece la soccombenza. Per questi motivi, visti gli art. 188, 193, 208, 209 LOC; 16, 17 RGFCC; 48 DELOC; 3, 18, 28, 31, 60, 61, 65 PAmm, dichiara e pronuncia: 1.   Il ricorso è parzialmente accolto. §.  Di conseguenza: 1.1.   la decisione 20 agosto 1997 del Consiglio di Stato (n. 3955) è annullata; 1.2.   la decisione 27 gennaio 1997 del consiglio comunale di __________ è riformata nel senso che è confermata limitatamente all’importo di fr. 53'250.-- l’uscita prevista alla voce “Servizio __________ " (cto. 600.318.963). § Il credito rimane bloccato sintanto che il Consiglio di Stato non avrà approvato la convenzione sottoscritta dal comune con la __________ per l'istituzione di tale servizio. 2.   Non si prelevano né spese, né tassa di giustizia. 3.   Il comune di __________ rifonderà ai ricorrenti fr. 800.--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