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52.1997.241 vom 6. März 1998</w:t>
      </w:r>
    </w:p>
    <w:p>
      <w:r>
        <w:t>TI Tribunale d'appello, 1998-03-06, IT</w:t>
      </w:r>
    </w:p>
    <w:p>
      <w:r>
        <w:rPr>
          <w:b/>
        </w:rPr>
        <w:t xml:space="preserve">Quelle: </w:t>
      </w:r>
      <w:r>
        <w:t>https://mcp.opencaselaw.ch/entscheid/ti_gerichte_52.1997.241</w:t>
      </w:r>
    </w:p>
    <w:p>
      <w:r>
        <w:t>FR: TI_GERICHTE 52.1997.241 du 6 mars 1998</w:t>
      </w:r>
    </w:p>
    <w:p>
      <w:r>
        <w:t>IT: TI_GERICHTE 52.1997.241 del 6 marzo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marzo 1998 In nome della Repubblica e Cantone del Ticino Il Tribunale cantonale amministrativo composto dei giudici: Lorenzo Anastasi, presidente, Raffaello Balerna, Stefano Bernasconi segretario: Leopoldo Crivelli statuendo sul ricorso 8 settembre 1997 di __________ contro la decisione 20 agosto 1997, no 4006, del Consiglio di Stato, che respinge il ricorso 24 luglio 1997 dell'insorgente avverso la decisione 26 giugno 1997 della __________ con la quale ha deciso il suo licenziamento; preso atto che le parti, analogamente sollecitate dal Giudice Delegato, hanno sottoscritto in data 6 febbraio 1998, una convenzione (con lettera di precisazioni) del seguente tenore: "Convenzione tra il __________ (rappr. dall'avv__________) e __________ (rappr. dall'avv. __________) si conviene: 1.   Il Consorzio rinuncia al licenziamento di __________ 2.   __________ si dimette con effetto 31 gennaio 1998 . 3.   Il Consorzio versa tutti gli stipendi arretrati lordi per i mesi da luglio 1997 a gennaio 1998 e meglio fr. 19'943.05 entro il</w:t>
      </w:r>
    </w:p>
    <w:p>
      <w:r>
        <w:rPr>
          <w:b/>
        </w:rPr>
        <w:t>E. 9</w:t>
      </w:r>
    </w:p>
    <w:p>
      <w:r>
        <w:t>febbraio 1998 . 5.   La presente convenzione viene trasmessa al TRAM (con richiesta di ripresa nel decreto di stralcio) e alla Pretura di  __________, per lo stralcio delle procedure in corso. 6.   Con la firma della presente convenzione le parti si danno atto di non vantare più reciproche pretese." considerato pertanto che il procedimento è così esaurito, decreta: 1.   Il ricorso è stralciato dai ruoli. 2.   Non si prelevano né tasse, né spese. 3.   Non si assegnano ripetibili.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