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52.1997.230 vom 20. November 1997</w:t>
      </w:r>
    </w:p>
    <w:p>
      <w:r>
        <w:t>TI Tribunale d'appello, 1997-11-20, IT</w:t>
      </w:r>
    </w:p>
    <w:p>
      <w:r>
        <w:rPr>
          <w:b/>
        </w:rPr>
        <w:t xml:space="preserve">Quelle: </w:t>
      </w:r>
      <w:r>
        <w:t>https://mcp.opencaselaw.ch/entscheid/ti_gerichte_52.1997.230</w:t>
      </w:r>
    </w:p>
    <w:p>
      <w:r>
        <w:t>FR: TI_GERICHTE 52.1997.230 du 20 novembre 1997</w:t>
      </w:r>
    </w:p>
    <w:p>
      <w:r>
        <w:t>IT: TI_GERICHTE 52.1997.230 del 20 novembre 1997</w:t>
      </w:r>
    </w:p>
    <w:p>
      <w:pPr>
        <w:pStyle w:val="Heading2"/>
      </w:pPr>
      <w:r>
        <w:t>Volltext</w:t>
      </w:r>
    </w:p>
    <w:p>
      <w:r>
        <w:t>Incarto n.52.97.00230</w:t>
      </w:r>
    </w:p>
    <w:p>
      <w:r>
        <w:t>Lugano</w:t>
      </w:r>
    </w:p>
    <w:p>
      <w:r>
        <w:t>20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 settembre 1997 di</w:t>
      </w:r>
    </w:p>
    <w:p>
      <w:r>
        <w:t>__________ e __________</w:t>
      </w:r>
    </w:p>
    <w:p>
      <w:r>
        <w:t>contro</w:t>
      </w:r>
    </w:p>
    <w:p>
      <w:r>
        <w:t>la decisione 19 agosto 1997, no. 83, del Dipartimento delle istituzioni che accoglie parzialmente il reclamo 26 gennaio 1996 di __________ e __________ interposto contro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delludienza 12 novembre 1997, dopo discussione, il Giudice Delegato ha proposto alle parti un risarcimento complessivo di fr. 23'000.--, volto ad indennizzare anche il minor valore delle cucine, conseguente alla rimozione dei fornelli a gas ed alla necessità di chiudere il buco nei piani di lavoro e nel muro a regola d'arte;</w:t>
      </w:r>
    </w:p>
    <w:p>
      <w:r>
        <w:t>ritenuto che la proposta è stata accettata seduta stante dai ricorrenti e il municipio di __________, con scritto 17 novembre u.s., vi ha aderito;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