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52.1997.147 vom 11. August 1997</w:t>
      </w:r>
    </w:p>
    <w:p>
      <w:r>
        <w:t>TI Tribunale d'appello, 1997-08-11, IT</w:t>
      </w:r>
    </w:p>
    <w:p>
      <w:r>
        <w:rPr>
          <w:b/>
        </w:rPr>
        <w:t xml:space="preserve">Quelle: </w:t>
      </w:r>
      <w:r>
        <w:t>https://mcp.opencaselaw.ch/entscheid/ti_gerichte_52.1997.147</w:t>
      </w:r>
    </w:p>
    <w:p>
      <w:r>
        <w:t>FR: TI_GERICHTE 52.1997.147 du 11 août 1997</w:t>
      </w:r>
    </w:p>
    <w:p>
      <w:r>
        <w:t>IT: TI_GERICHTE 52.1997.147 del 11 agosto 1997</w:t>
      </w:r>
    </w:p>
    <w:p>
      <w:pPr>
        <w:pStyle w:val="Heading2"/>
      </w:pPr>
      <w:r>
        <w:t>Regeste</w:t>
      </w:r>
    </w:p>
    <w:p>
      <w:r>
        <w:t>Sentenza o decisione senza scheda</w:t>
      </w:r>
    </w:p>
    <w:p>
      <w:pPr>
        <w:pStyle w:val="Heading2"/>
      </w:pPr>
      <w:r>
        <w:t>Erwägungen</w:t>
      </w:r>
    </w:p>
    <w:p>
      <w:r>
        <w:rPr>
          <w:b/>
        </w:rPr>
        <w:t>E. 20</w:t>
      </w:r>
    </w:p>
    <w:p>
      <w:r>
        <w:t>cm su un tratto di poco più di un metro! che queste differenze sono da considerare minime anche nel caso in cui il municipio volesse far capo a quel metro di giudizio particolarmente rigoroso che giurisprudenza e dottrina permettono di applicare nei confronti di un costruttore abusivo: ipotesi, questa, che peraltro non sembra data nel caso concreto; che il giudizio con cui il Tribunale cantonale amministrativo  ha rinviato gli atti al municipio affinché rilasciasse al resistente la licenza in sanatoria subordinandola alla condizione di arretrare l'angolo del muro interno del ripostiglio non obbligava per nulla l'autorità comunale ad emanare l'ordine di ripristino annullato dal Consiglio di Stato: significava soltanto che l'opera poteva beneficiare di una licenza in sanatoria unicamente entro quei limiti; che, così stando le cose, la decisione governativa impugnata, del tutto immune da violazioni del diritto, va senz'altro confermata; che dato che il comune non è insorto in difesa di suoi interessi economici si prescinde dal prelievo di una tassa di  giustizia; le ripetibili seguono invece la soccombenza; visti gli art. 21, 43, 45 LE; 3, 18, 28, 31, 60, 61 PAmm dichiara e pronuncia: 1.   Il ricorso è respinto. 2.   Non si prelevano né tasse, né spese. 3.   Il comune di __________ rifonderà al resistente fr. 400.--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