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52.1997.101 vom 21. Juni 1999</w:t>
      </w:r>
    </w:p>
    <w:p>
      <w:r>
        <w:t>TI Tribunale d'appello, 1999-06-21, IT</w:t>
      </w:r>
    </w:p>
    <w:p>
      <w:r>
        <w:rPr>
          <w:b/>
        </w:rPr>
        <w:t xml:space="preserve">Quelle: </w:t>
      </w:r>
      <w:r>
        <w:t>https://mcp.opencaselaw.ch/entscheid/ti_gerichte_52.1997.101</w:t>
      </w:r>
    </w:p>
    <w:p>
      <w:r>
        <w:t>FR: TI_GERICHTE 52.1997.101 du 21 juin 1999</w:t>
      </w:r>
    </w:p>
    <w:p>
      <w:r>
        <w:t>IT: TI_GERICHTE 52.1997.101 del 21 giugno 1999</w:t>
      </w:r>
    </w:p>
    <w:p>
      <w:pPr>
        <w:pStyle w:val="Heading2"/>
      </w:pPr>
      <w:r>
        <w:t>Volltext</w:t>
      </w:r>
    </w:p>
    <w:p>
      <w:r>
        <w:t>Incarto n.52.97.00101</w:t>
      </w:r>
    </w:p>
    <w:p>
      <w:r>
        <w:t>Lugano</w:t>
      </w:r>
    </w:p>
    <w:p>
      <w:r>
        <w:t>21 giugno 1999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5 maggio 1997 di</w:t>
      </w:r>
    </w:p>
    <w:p>
      <w:r>
        <w:t>__________</w:t>
      </w:r>
    </w:p>
    <w:p>
      <w:r>
        <w:t>patrocinato da: avv. __________</w:t>
      </w:r>
    </w:p>
    <w:p>
      <w:r>
        <w:t>contro</w:t>
      </w:r>
    </w:p>
    <w:p>
      <w:r>
        <w:t>la decisione 16 aprile 1997, no. 1810, del Consiglio di Stato che accoglie parzialmente l'impugnativa 30 giugno 1995 di __________ avverso la decisione 12 giugno 1995 del municipio di __________ in materia edilizia;</w:t>
      </w:r>
    </w:p>
    <w:p>
      <w:r>
        <w:t>preso atto che in data 11 giugno 1999 il patrocinatore del ricorrente, a seguito di una soluzione al di fuori delle tavole processuali, ha chiesto lo stralcio della causa dai ruoli, compensate le ripetibili;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