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52.1996.40 vom 22. April 1996</w:t>
      </w:r>
    </w:p>
    <w:p>
      <w:r>
        <w:t>TI Tribunale d'appello, 1996-04-22, IT</w:t>
      </w:r>
    </w:p>
    <w:p>
      <w:r>
        <w:rPr>
          <w:b/>
        </w:rPr>
        <w:t xml:space="preserve">Quelle: </w:t>
      </w:r>
      <w:r>
        <w:t>https://mcp.opencaselaw.ch/entscheid/ti_gerichte_52.1996.40</w:t>
      </w:r>
    </w:p>
    <w:p>
      <w:r>
        <w:t>FR: TI_GERICHTE 52.1996.40 du 22 avril 1996</w:t>
      </w:r>
    </w:p>
    <w:p>
      <w:r>
        <w:t>IT: TI_GERICHTE 52.1996.40 del 22 aprile 1996</w:t>
      </w:r>
    </w:p>
    <w:p>
      <w:pPr>
        <w:pStyle w:val="Heading2"/>
      </w:pPr>
      <w:r>
        <w:t>Regeste</w:t>
      </w:r>
    </w:p>
    <w:p>
      <w:r>
        <w:t>Sentenza o decisione senza scheda</w:t>
      </w:r>
    </w:p>
    <w:p>
      <w:pPr>
        <w:pStyle w:val="Heading2"/>
      </w:pPr>
      <w:r>
        <w:t>Erwägungen</w:t>
      </w:r>
    </w:p>
    <w:p>
      <w:r>
        <w:rPr>
          <w:b/>
        </w:rPr>
        <w:t>E. 4</w:t>
      </w:r>
    </w:p>
    <w:p>
      <w:r>
        <w:t>LPContr; che giusta l'art. 3 LPContr il procedimento contravvenzionale è aperto dall'autorità titolare dell'azione contravvenzionale mediante notifica di un rapporto di contravvenzione al presunto trasgressore, al quale viene assegnato un termine di 15 giorni per presentare osservazioni e sollecitare un complemento d'inchiesta; che, preso atto delle giustiificazioni inoltrate dal prevenuto e completata eventualmente l'istruttoria, offrendo al denunciato la possibiltà di prendere posizione sulle risultanze degli ulteriori accertamenti, l'autorità amministrativa decide se abbandonare il procedimento od infliggere al denunciato un'adeguata sanzione pecuniaria; che la notifica del rapporto di contravvenzione corrisponde alla promozione dell'accusa prevista dalla procedura penale ordinaria; è volta a permettere al denunciato di esercitare compiutamente i suoi diritti di difesa e costituisce una formalità essenziale, la cui violazione determina l'annullamento dell'intera procedura; che nel caso concreto, l'autorità cantonale ha aperto un procedimento contravvenzionale a carico della __________, notificando a questa ditta un rapporto di contravvenzione indicante chiaramente gli addebiti che le venivano mossi; che a carico di __________, presidente del CA della ditta succitata, il Dipartimento del Territorio non ha invece aperto alcun procedimento contravvenzionale; che la sanzione censurata è stata nondimeno inflitta a quest'ultimo; che l'omessa apertura di un procedimento contravvenzionale a carico del ricorrente, mediante notifica di un rapporto di contravvenzione, configura, a non averne dubbio, una violazione insanabile di norme essenziali di procedura; che già per questo motivo il ricorso deve essere accolto, annullando la multa in esame e la decisione governativa che la conferma; che, dato l'esito, si prescinde dal prelievo di una tassa di giustizia; visti gli art. 4, 10, 11, 13 LEPIC; 3 RLEPIC; 4 e seg. LPContr; dichiara e pronuncia: 1.   Il ricorso è accolto §.   Di conseguenza, sono annullate: 1.1.   la decisione 13 dicembre 1995 del Consiglio di Stato (n. 6731). 1.2.   la decisione 30 agosto 1995 del Dipartimento del Territorio. 2.   Non si prelevano nè spese, nè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