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52.1996.129 vom 5. August 1996</w:t>
      </w:r>
    </w:p>
    <w:p>
      <w:r>
        <w:t>TI Tribunale d'appello, 1996-08-05, IT</w:t>
      </w:r>
    </w:p>
    <w:p>
      <w:r>
        <w:rPr>
          <w:b/>
        </w:rPr>
        <w:t xml:space="preserve">Quelle: </w:t>
      </w:r>
      <w:r>
        <w:t>https://mcp.opencaselaw.ch/entscheid/ti_gerichte_52.1996.129</w:t>
      </w:r>
    </w:p>
    <w:p>
      <w:r>
        <w:t>FR: TI_GERICHTE 52.1996.129 du 5 août 1996</w:t>
      </w:r>
    </w:p>
    <w:p>
      <w:r>
        <w:t>IT: TI_GERICHTE 52.1996.129 del 5 agosto 1996</w:t>
      </w:r>
    </w:p>
    <w:p>
      <w:pPr>
        <w:pStyle w:val="Heading2"/>
      </w:pPr>
      <w:r>
        <w:t>Regeste</w:t>
      </w:r>
    </w:p>
    <w:p>
      <w:r>
        <w:t>Sentenza o decisione senza scheda</w:t>
      </w:r>
    </w:p>
    <w:p>
      <w:pPr>
        <w:pStyle w:val="Heading2"/>
      </w:pPr>
      <w:r>
        <w:t>Erwägungen</w:t>
      </w:r>
    </w:p>
    <w:p>
      <w:r>
        <w:rPr>
          <w:b/>
        </w:rPr>
        <w:t>E. 43</w:t>
      </w:r>
    </w:p>
    <w:p>
      <w:r>
        <w:t>e 46 PAmm: la competenza del Tribunale cantonale amministrativo, la legittimazione attiva degli insorgenti e la tempestività dell'impugnativa sono in effetti pacifiche; che considerata la natura delle questioni poste a giudizio, l'impugnativa può essere evasa sulla base degli atti, senza procedere all'assunzione delle prove richieste dai ricorrenti (sopralluogo e testi); le risultanze delle numerose visite in luogo esperite dalle precedenti istanze permettono a questo Tribunale di  formarsi un'idea precisa della situazione dell'oggetto della contestazione; che infondate sono le censure di natura procedurale sollevate dai ricorrenti in relazione alle modalità di notifica dell'avviso di pubblicazione della domanda di costruzione inoltrata dai resistenti ed alla procedura semplificata adottata dall'autorità per rilasciare la licenza in sanatoria; che in quanto non siano esplicitamente soggette alla procedura della notifica, le domande di costruzione soggiacciono alla procedura ordinaria (art. 4 LE, 5 RLE); che la procedura della notifica é applicabile ai lavori di secondaria importanza, quali i lavori di rinnovamento e di trasformazione senza modificazione della destinazione degli edifici (art. 11 cpv. 1 LE; 6 RLE); che eventuali contestazioni circa la procedura da osservare sono decise inappellabilmente dal Dipartimento, senza formalità particolari (art. 11 cpv. 2 LE); che controversa in concreto é la questione a sapere se i lavori eseguiti nel piano interrato abbiano cambiato la destinazione del locale e se pertanto la licenza in sanatoria dovesse essere rilasciata secondo la procedura ordinaria, o se invece soggiacessero alla procedura di notifica come hanno ritenuto le precedenti istanze; che con decisione inappellabile del 12 settembre 1995 il Dipartimento del Territorio ha ritenuto applicabile la procedura di notifica, escludendo in sostanza qualsiasi cambiamento di destinazione; che, sia come che sia, la procedura seguita dall'autorità non ha minimamente limitato i ricorrenti nell'esercizio dei loro diritti di difesa; che per evidenti bisogni della causa civile i ricorrenti pretendono che i lavori eseguiti nella cantina dello stabile dei resistenti abbiano cambiato la destinazione del locale; che per "cambiamento di destinazione" rilevante dal profilo della polizia delle costruzioni si intende generalmente una modifica delle modalità di utilizzazione comportante l'applicazione di norme edilizie diverse rispetto a quelle applicabili all'uso anteriore e/o un aumento apprezzabile delle immissioni o dei pericoli preesistenti (cfr. STA  28.2.92 in re comune di __________; DFGP, Commento alla LPT ad art. 22 N12; Scolari, Commentario della LE, ad art. 39 N 16; Mäder, Das Baubewilligungsverfahren nach zürch. Recht, Zürcher Schriften zum Verfahrensrecht N. 209 seg.). che in concreto i lavori eseguiti dai resistenti nella cantina del loro stabile non hanno modificato in misura apprezzabile le possibilità di utilizzazione del locale; che dal profilo dell'utilizzazione la cantina è rimasta più o meno tale con l'unica differenza che invece di servire un esercizio pubblico, serve ora un'abitazione bifamiliare; che dal profilo della polizia delle costruzioni la modifica è tutto sommato irrilevante; che, comunque, anche se le modifiche apportate integrino gli estremi di un cambiamento di destinazione, l'intervento appare perfettamente conforme al diritto edilizio materialmente applicabile; nemmeno i ricorrenti sollevano obiezioni in proposito; che, così stando le cose, la licenza edilizia e la decisione governativa che la conferma appaiono immuni da violazioni del diritto; che il ricorso va quindi senz'altro respinto, addebitando ai ricorrenti le spese e la tassa di giustizia; visti gli art. 6 cpv. 3, 11 cpv. 1, 21 LE; 9 cpv. 1 lett. c RALE; 3, 18, 28, 43, 46 PAmm, dichiara e pronuncia: 1.   Il ricorso è respinto. 2.   Le spese e la tassa di giudizio di fr. 800.- (ottocento) sono poste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