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52.1995.387 vom 27. März 1996</w:t>
      </w:r>
    </w:p>
    <w:p>
      <w:r>
        <w:t>TI Tribunale d'appello, 1996-03-27, IT</w:t>
      </w:r>
    </w:p>
    <w:p>
      <w:r>
        <w:rPr>
          <w:b/>
        </w:rPr>
        <w:t xml:space="preserve">Quelle: </w:t>
      </w:r>
      <w:r>
        <w:t>https://mcp.opencaselaw.ch/entscheid/ti_gerichte_52.1995.387</w:t>
      </w:r>
    </w:p>
    <w:p>
      <w:r>
        <w:t>FR: TI_GERICHTE 52.1995.387 du 27 mars 1996</w:t>
      </w:r>
    </w:p>
    <w:p>
      <w:r>
        <w:t>IT: TI_GERICHTE 52.1995.387 del 27 marzo 1996</w:t>
      </w:r>
    </w:p>
    <w:p>
      <w:pPr>
        <w:pStyle w:val="Heading2"/>
      </w:pPr>
      <w:r>
        <w:t>Regeste</w:t>
      </w:r>
    </w:p>
    <w:p>
      <w:r>
        <w:t>Sentenza o decisione senza scheda</w:t>
      </w:r>
    </w:p>
    <w:p>
      <w:pPr>
        <w:pStyle w:val="Heading2"/>
      </w:pPr>
      <w:r>
        <w:t>Erwägungen</w:t>
      </w:r>
    </w:p>
    <w:p>
      <w:r>
        <w:rPr>
          <w:b/>
        </w:rPr>
        <w:t>E. 21</w:t>
      </w:r>
    </w:p>
    <w:p>
      <w:r>
        <w:t>cpv. 1 LE. La legittimazione a ricorrere di __________ ed __________ è pacificamente data dall'art. 21 cpv. 2 LE. Il gravame, tempestivo e correttamente formulato (art. 46 LPamm), è pertanto ricevibile in ordine e può essere deciso sulla base degli atti, integrati dalle risultanze degli accertamenti esperiti nel corso dell'istruttoria (art. 18 cpv. 1 LPamm). 2.   La vertenza, a non averne dubbio, trae sostanzialmente origine dagli abusi edilizi che __________ e __________ hanno consapevolmente e volontariamente commesso nell'intento di rendere abitabile il garage annesso alla loro casa d'abitazione. La presente procedura, come tale, scaturisce invero anche dal contenuto fuorviante della sentenza 3 febbraio 1993 del Consiglio di Stato, segnatamente dalle direttive vincolanti che l'autorità di ricorso di prime cure ha voluto impartire alle parti per regolamentare la possibile prosecuzione del contenzioso. In effetti, con quel giudizio il Governo ha in pratica annullato il permesso in sanatoria 2 luglio 1992 rilasciato agli attuali ricorrenti invitando il Municipio ad ordinare la demolizione delle opere eseguite (ad eccezione del collegamento con l'abitazione), oppure a pretendere l'inoltro di una domanda di costruzione in sanatoria volta ad ottenere l'autorizzazione di ampliare la costruzione principale mediante trasformazione del vano garage. In realtà, quest'ultima strada non era assolutamente percorribile con successo. Avendo eretto l'autorimessa al limite della proprietà, la famiglia __________ non avrebbe mai potuto conseguire il permesso di trasformarla in costruzione principale, poiché nella zona R2 di __________ questo genere di fabbricati deve osservare una distanza minima dal confine di ml 3 (cfr. art. 36 e 39 NAPR 1975, così come la deroga di cui all'art. 23 subordinata tuttavia al consenso del vicino). Il garage avrebbe rispettato le distanze imposte dal PR unicamente riacquistando le caratteristiche di una costruzione accessoria (cfr. art. 17 NAPR 1975, il quale consentiva appunto l'edificazione degli accessori a confine). Ne consegue che già allora l'unica alternativa al diniego del permesso in sanatoria ed alla demolizione delle opere abusive sarebbe stata la conferma della licenza edilizia assortita di condizioni destinate a ricondurre il garage entro i limiti di una costruzione accessoria. A ben guardare, la procedura che ha portato i ricorrenti ad adire questo Tribunale costituisce quindi un inutile doppione dell'iter sanatorio iniziatosi con l'inoltro della domanda di costruzione 12 marzo 1992 e conclusosi con la sentenza resa il 3 febbraio 1993 dal Consiglio di Stato. 3.   Allorquando il Municipio di __________ ha esaminato la domanda di costruzione 17 giugno 1994 erano ancora in vigore le vecchie NAPR del 1975, attualmente sostituite dalle NAPR che il Consiglio di Stato ha approvato il 20 dicembre 1994. Ai fini del presente giudizio lo scrivente Tribunale applicherà le NAPR 1994, ovvero il diritto vigente al momento dell'emanazione dell'impugnata decisione governativa (RDAT II-1994 N. 22) che in tema di costruzioni accessorie non apporta comunque modifiche di rilievo rispetto alla normativa previgente. Giusta l'art. 18 NAPR 1994 di __________: "Per costruzioni a carattere accessorio si intendono tutte quelle che non sono destinate ad abitazione o al lavoro, ma sono al servizio di una casa d'abitazione e non abbiano una funzione industriale, artigianale o commerciale. L'altezza misurata dal terreno sistemato alla gronda non deve superare i m. 3.00 rispettivamente m. 4.00 al colmo. Esse possono sorgere a confine, se senza aperture, o a m. 1.50 se con aperture. In ogni caso devono rispettare le seguenti distanze verso edifici principali sui fondi contigui: -    a confine o a m. 3.00 da edifici esistenti senza aperture; -    m. 4.00 da edifici esistenti con aperture. La trasformazione di una costruzione accessoria in costruzione principale è vincolata al rispetto di tutte disposizioni di PR. Costruzioni accessorie fuori terra devono di regola avere il tetto a falde con materiale di copertura conforme alle prescrizioni di zona, qualora esso non abbia funzione di posteggio. La costruzione accessoria non sotterranea entra nel computo della superficie edificata." La norma in questione, analoga a quelle riscontrabili in altri ordinamenti edilizi comunali, riprende i concetti sviluppati dalla giurisprudenza in relazione a questo genere di manufatti (RDAT 1985 N. 61, 1978 N. 52), sottolineando in particolare i requisiti che le costruzioni accessorie sono tenute a rispettare dal profilo della loro destinazione e delle loro dimensioni per essere considerate tali e sorgere di conseguenza ad una distanza dal confine inferiore a quella prescritta per gli edifici principali (STA 27.11.1992 in re F.). Le NAPR di __________ non precludono alle costruzioni accessorie la possibilità di sorgere in contiguità con edifici principali; esigono tuttavia che la costruzione accessoria si distingua dalla costruzione principale, sia dal profilo funzionale sia dal profilo architettonico-strutturale. Dal profilo funzionale, la costruzione accessoria deve porsi in un rapporto di subordinazione rispetto alla costruzione principale. Essa deve soltanto servire quest'ultima, senza perseguire finalità autonome ed indipendenti. La sua funzione deve insomma essere di natura secondaria e complementare rispetto all'attività esercitata nella costruzione al cui servizio è posta (RDAT 1986 N. 39). Se l'edificio principale è utilizzato a fini abitativi, è escluso che la costruzione accessoria possa essere destinata anche solo in parte a quella funzione. Dal profilo strutturale, la costruzione accessoria deve offrire l'immagine della destinazione complementare: non deve cioè presentare le stesse caratteristiche (rifiniture, porte, finestre, ecc.) di una costruzione utilizzata o utilizzabile per l'abitazione, il lavoro o il commercio. Se viene edificato in contiguità, il manufatto accessorio dev'essere chiaramente distinguibile, dal lato architettonico, dall'opera principale: tra le due costruzioni non devono in particolare esistere porte comunicanti (Scolari, Appunti di diritto amministrativo nel Cantone Ticino, p. 26). 4.   Nel caso in esame, appare evidente come __________ e __________ si siano notevolmente distanziati dal progetto primitivo relativo all'edificazione della loro autorimessa. La costruzione, prevista all'origine come corpo vuoto e senza connessioni con l'abitazione, è stata in realtà strutturata internamente, collegata al PT dell'edificio principale mediante l'apertura di una porta e dotata di servizi igienici. Grazie ad una trasformazione incisiva realizzata con materiali e rifiniture di pregio (rivestimento del pavimento in piastrelle del medesimo tipo della casa d'abitazione comunicante; porta d'entrata in legno massiccio con corpo luce alle estremità; scala d'accesso al soppalco in legno identico a quello della scala d'accesso all'abitazione; attacco e scarico dell'acqua, prese per la corrente, parziale rivestimento in piastrelle delle pareti e perlinatura del soffitto nel sottopalco; WC, lavandino, impianto doccia e di ventilazione, pavimento e pareti rivestiti in piastrelle nel vano retrostante) il garage è stato insomma convertito abusivamente in spazio abitabile perdendo qualsiasi connotazione di costruzione accessoria. Accertata la natura e l'ampiezza degli abusi posti in essere dai ricorrenti, resta da esaminare se le violazioni in discussione non possano essere sanate mediante il rilascio di un permesso a posteriori assortito di precise condizioni che consentano al garage di riacquistare definitivamente le caratteristiche di una costruzione accessoria. Lo scopo divisato non verrebbe certamente raggiunto con gli interventi oggetto della domanda di costruzione 17 giugno 1993 presentata dai ricorrenti. In effetti, la rimozione di alcuni apparecchi sanitari (doccia/WC) e l'innalzamento di 55 cm della soletta in legno posata per la creazione del soppalco non bastano a far perdere all'autorimessa le prerogative abitative ch'essa attualmente possiede; tanto meno servono a scongiurare il pericolo di future elusioni della legge, vista la polivalenza delle lussuose strutture che resterebbero all'interno del manufatto. Per ovviare allo stato d'incertezza sulla reale destinazione complementare dei vani ricavati nell'autorimessa occorrono ulteriori provvedimenti, segnatamente: -    l'eliminazione delle prese di corrente a forte voltaggio; -    l'asportazione degli scarichi e degli attacchi dell'impianto doccia e WC; -    la sigillatura dell'impianto di aerazione; -    la chiusura di tutte le vetrate del portale d'accesso all'autorimessa. Inoltre, visto che dal profilo architettonico l'autorimessa è stata completamente integrata nella contigua casa d'abitazione in modo tale da non poterla neppure distinguere chiaramente dal corpo principale (cfr. fotografie e piani agli atti), è indispensabile che venga soppresso il collegamento diretto tra garage e abitazione. Una volta realizzati questi interventi, l'autorimessa avrà riacquistato integralmente le caratteristiche di costruzione accessoria che le hanno consentito di sorgere a confine. In conclusione, la licenza edilizia in sanatoria 7 settembre 1994 rilasciata agli insorgenti dal Municipio di __________ può essere confermata alle seguenti (ulteriori) condizioni: -    sigillatura dell'impianto di aerazione; -    chiusura di tutte le vetrate del portale d'accesso all'autorimessa; -    muratura della porta di collegamento tra l'autorimessa e la casa d'abitazione. Resta inteso che se i ricorrenti dovessero rinunciare alla licenza od omettere di porre interamente in esecuzione gli interventi contemplati nel permesso, il Municipio dovrà intervenire emanando un ordine di ripristino totale, ovvero la demolizione di tutte le opere eseguite abusivamente nel garage. 5.   Ferme queste premesse, il ricorso va parzialmente accolto, annullando il giudizio impugnato e ripristinando la licenza edilizia alle condizioni illustrate al considerando precedente. Dato che la procedura è nata a causa delle fuorvianti indicazioni contenute nel giudizio 3 febbraio 1993 del Consiglio di Stato, il Tribunale rinuncia al prelievo di spese e tassa di giudizio. Le ripetibili si ritengono invece compensate. Per questi motivi, visti gli art. 21 LE; 18 NAPR di __________; 3, 18, 28 e 31 LPamm, dichiara e pronuncia: 1.   Il ricorso è parzialmente accolto. §.  Di conseguenza: 1.1.   la decisione 3 maggio 1995 (no. 2490) del Consiglio di Stato è annullata; 1.2.   la licenza edilizia 7 settembre 1994 rilasciata dal Municipio di __________ ai ricorrenti è confermata alle seguenti, ulteriori condizioni: a)    sigillatura dell'impianto di aerazione; b)    chiusura di tutte le vetrate del portale d'accesso all'autorimessa; c)    muratura della porta di collegamento tra l'autorimessa e la casa d'abitazione. 2.   Non si prelevano spese, né tassa di giustizia. Si danno per compensate le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