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52.1995.327 vom 28. April 1995</w:t>
      </w:r>
    </w:p>
    <w:p>
      <w:r>
        <w:t>TI Tribunale d'appello, 1995-04-28, IT</w:t>
      </w:r>
    </w:p>
    <w:p>
      <w:r>
        <w:rPr>
          <w:b/>
        </w:rPr>
        <w:t xml:space="preserve">Quelle: </w:t>
      </w:r>
      <w:r>
        <w:t>https://mcp.opencaselaw.ch/entscheid/ti_gerichte_52.1995.327</w:t>
      </w:r>
    </w:p>
    <w:p>
      <w:r>
        <w:t>FR: TI_GERICHTE 52.1995.327 du 28 avril 1995</w:t>
      </w:r>
    </w:p>
    <w:p>
      <w:r>
        <w:t>IT: TI_GERICHTE 52.1995.327 del 28 aprile 1995</w:t>
      </w:r>
    </w:p>
    <w:p>
      <w:pPr>
        <w:pStyle w:val="Heading2"/>
      </w:pPr>
      <w:r>
        <w:t>Regeste</w:t>
      </w:r>
    </w:p>
    <w:p>
      <w:r>
        <w:t>Sentenza o decisione senza scheda</w:t>
      </w:r>
    </w:p>
    <w:p>
      <w:pPr>
        <w:pStyle w:val="Heading2"/>
      </w:pPr>
      <w:r>
        <w:t>Erwägungen</w:t>
      </w:r>
    </w:p>
    <w:p>
      <w:r>
        <w:rPr>
          <w:b/>
        </w:rPr>
        <w:t>E. 49</w:t>
      </w:r>
    </w:p>
    <w:p>
      <w:r>
        <w:t>LE). 2.3. I lavori di secondaria importanza soggiacciono alla procedura semplificata della notifica, istituita all'art. 36 RLE 1974 (in seguito: RLE). Quei lavori, elencati all'art. 36 cpv. 1 RLE, possono essere - appunto - iniziati dopo trenta giorni dalla notifica al municipio (art. 36 cpv. 4 RLE): termine entro il quale il municipio vi si può opporre con decisione motivata (art. 36 cpv. 4 RLE). Il silenzio del municipio entro quel lasso di tempo deve pertanto essere considerato quale concessione di una licenza tacita. Il municipio è tuttavia tenuto a trasmettere immediatamente una copia della notifica al dipartimento quando questa riguarda lavori al di fuori della zona edificabile o all'interno di una zona di pianificazione, di lavori che concernono siti pittoreschi, monumenti storici, edifici nelle zone di protezione e in genere nelle immediate adiacenze di monumenti, oppure infine di lavori entro la linea di arretramento delle strade cantonali (art. 36 cpv. 3 RLE): in tale ipotesi il diritto ad opporsi ai lavori spetta, purché sempre esercitato entro 30 giorni dalla notifica, anche al dipartimento (art. 36 cpv. 4 RLE). La notifica non deve essere pubblicata ma, per giurisprudenza (RDAT 1981 N. 59), deve essere comunicata ai proprietari confinanti. Contro la decisione di opposizione ai lavori municipale o dipartimentale é dato ricorso come all'art. 49 LE (art. 36 cpv. 5 RLE). La giurisprudenza di questo Tribunale ha considerato in generale - e per quanto può interessare l'esito della presente contestazione - che, trattandosi di un'eccezione al principio sancito agli art. 39 LE e 35 RLE, giusta i quali tutte le domande di costruzione devono essere trattate secondo la procedura ordinaria, l'art. 36 cpv. 1 RLE deve essere interpretato restrittivamente, tenendo conto delle sue finalità. La scelta tra la procedura ordinaria e quella semplificata non compete comunque né all'istante né all'autorità decidente, ma dipende dalle caratteristiche intrinseche dei lavori previsti (cfr. tra tante STA 17.12.1990 in re G. e M., pubbl. in RDAT II-1991 N. 39, consid. 2b; 10.6.1994 in re P., consid. 2.2.). 2.4. L'art. 37 RLE elenca infine una serie di costruzioni od impianti che non soggiacciono né a permesso né a notifica. Tra questi figura a titolo di lavori di importanza minima - e dunque non bisognosi di preventivo controllo per il titolo di licenza edilizia o di notifica - la sistemazione di piccole superfici di terreno mediante lavori di giardinaggio, scavi o riempimenti aventi un'altezza inferiore a ml 1 (art. 37 cpv. 1 lett. g RLE). 2.5. Nella fattispecie la ricorrente intende alzare il livello del terreno al mapp. __________ di circa 0,25 ml - altezza che lievita tuttavia a 0,5/1 ml secondo le dichiarazioni rese dalla stessa in sede di sopralluogo - per una superficie di 4'353 mq. Quegli intendimenti edilizi, dagli effetti sostanziali certamente non trascurabili, non ricadono tra le eccezioni sancite all'art. 36 cpv. 1 RLE: essi sottostanno pertanto a permesso di costruzione secondo la procedura ordinaria giusta l'art. 39 LE e 35 lett. d RLE. In considerazione della vasta area che viene interessata dal colmataggio non entra invece in linea di conto l'applicazione dell'art. 37 cpv. 1 lett. g RLE, che solleva dall'obbligo di preventivo conseguimento del permesso di costruzione, ma anche solo da quello di semplice notifica, i riempimenti di altezza inferiore al metro. Il colmataggio in rassegna non interessa infatti una piccola superficie di terreno, come stabilisce la predetta norma ai fini della sua applicazione. Sia infine detto, per completezza ed a conferma delle anzidette conclusioni, che i propositi edificatori della ricorrente soggiacciono alla procedura ordinaria anche a tenore della LE 1991, in vigore dal 1. gennaio 1993, come si può dedurre dall'art. 6 cpv. 1 lett. b cifra 6 RLE 1992, giusta il quale fuori delle zone edificabili possono beneficiare della procedura di semplice notifica le sole colmate di materiale terroso fino all'altezza di ml 1 ed una superficie di mq 500. 2.6. La prima censura ricorsuale - e, con ciò, la domanda principale - deve dunque essere respinta. 3.           3.1. Quanto svolto in precedenza richiama le seguenti considerazioni, che il Tribunale svolge nell'ambito dell'applicazione d'ufficio del diritto (art. 18 cpv. 1 PAmm). 3.2. Come detto, l'intervento di colmataggio in discussione è soggetto alla procedura ordinaria, ossia al preventivo conseguimento del permesso di costruzione. Indipenden­temente comunque dal distinguo tra permesso di costruzione e procedura di notifica - quest'ultima riservata, come pure é appena stato spiegato, alle opere di secondaria importanza - la giurispru­denza (cfr. RDAT II-1991 N. 39, pag. 90 segg.; inoltre STA 24.9.1992 in re B. e llcc, consid. 3) ha stabilito che il contenuto degli atti presentati dall' istante deve poter consentire all'autorità e ai terzi interessati una conveniente conoscenza delle caratteristiche dell'opera prevista. Solo procedendo in tal modo l'autorità può svolge­re un efficace controllo dell'attività edilizia, i terzi possono esercitare i loro diritti, infine l'istante può premunirsi da interventi repressivi dell'autorità e di terzi dopo l'inizio o il compimento dei lavori (Scolari, Commenta­rio della legge edilizia, N. 2 e 37 all'art. 39): per questo motivo l'istante deve preventivamente produrre tutta una serie di atti e di informazioni compiutamente descritti dal RLE, a seconda che i suoi intendimenti edificatori rientrino nella categoria di quelli soggetti a permesso (art. da 40 a 51) oppure a semplice notifica (art. 36 cpv. 2), procedere ai necessari picchettamenti e modinature (art. 51) e tenersi infine a disposizione dell'autorità per quegli ulteriori chiarimenti o completazioni che necessitassero (art. 52 cpv. 2). 3.3. Ora, se si esaminano gli atti prodotti dalla ricorrente non si può non concludere che essi non corrispondono praticamente in nulla a quanto richiesto dalle disposizioni che regolamentano la presentazione di una domanda di costruzione (art. da 40 a 51 RLE). In effetti essi si compongono in tutto e per tutto della lettera di "notifica" 30 agosto 1990, in cui vengono indicati altezza, superficie e scopo del riempimento, e di un estratto della mappa in scala 1:1000 del mapp. __________ (non é del resto noto al Tribunale se quest'ultimo documento sia stato prodotto dall'insorgente od annesso alla di lei domanda da parte del municipio). Oltretutto in occasione del sopralluogo 4 maggio 1992 la ricorrente ha dichiarato di voler aumentare in misura rilevante l'altezza del riempimento indicata nel citato scritto, di 0,25 ml, per portarla a 0,5/1 ml. 3.4. Sulla base delle constatazioni anzidette non solo è fuori di dubbio che l'insorgente ha prodotto una documentazione affatto insufficiente avuto riguardo a quanto dispone il RLE circa gli atti da presentare in relazione a una domanda di costruzione (la quale non è poi stata fatta completare da parte delle autorità preposte al rilascio dei permessi), ma che addirittura gli atti in parola nemmeno soddisfano il requisito dell'"esatta descrizione del fondo e dei lavori" posto dall'art. 36 cpv. 2 RLE per le opere soggette a semplice notifica. Se, da un lato, è ben vero che il colmataggio di un terreno agricolo non richiede la presentazione di una documentazione così estesa come nel caso di una costruzione di un edificio vero e proprio, purtuttavia non si può prescindere dal richiedere anche da chi si appresta a procedere a tanto di trasmettere alle autorità tutti quegli atti che la natura dei manufatti permette di allestire in ossequio alle competenti disposizioni. E questo indipendentemente dal fatto che gli intendimenti del richiedente possono essere, da un profilo sostanziale, perfettamente legali. In caso contrario sarebbero vanificati gli scopi per i quali sono state sancite chiare norme in tal senso (cfr. a quanto esposto sub. 3.2. che precede). Le autorità che dovessero dar seguito a domande carenti sotto i menzionati aspetti formali disattenderebbero inoltre il principio di uguaglianza. 3.5. La validità di un permesso di costruzione presuppone che i relativi piani debbano presentare l'opera prospettata in maniera precisa, chiara e completa (cfr. RDAT II-1991 N. 39, pag. 92; inoltre STA cit. 24.9.1992 in re B. e llcc, ibidem). Non è evidentemente il caso nella fattispecie. La sollecitata licenza edilizia non può dunque essere concessa già per questo motivo. Secondo la giurisprudenza infatti le autorità hanno l'obbligo di decidere solo sulla base di progetti che ossequino le prescrizioni legali determinanti la loro presentazione e non di intendimenti non sufficientemente precisati, che non permettono né una conveniente previa verifica quo alla loro conformità con il diritto vigente né un efficace successivo controllo della rispondenza tra quanto eseguito rispetto a quanto approvato (cfr. RDAT cit., pag. 92). La circostanza secondo cui il municipio di __________ ed il DPC, così come - implicitamente - il Governo, abbiano dato seguito ad una domanda carente sotto i menzionati aspetti non può evidentemente mutare quella conclusione. La "notifica" 30 agosto 1990 avrebbe potuto essere trattata, al più, alla stregua di domanda di licenza preliminare ai sensi dell'art. 51 LE: contro il diniego della stessa non é tuttavia dato ricorso (Scolari, op. cit., N. 13 ad art. 51). 4.           Sulla scorta di quanto precede il ricorso, nella misura in cui é ricevibile, deve essere respinto. L'esame dei quesiti di merito sollevati nello stesso diventa di conseguenza superfluo. 5.           La tassa di giudizio deve essere messa a carico della ricorrente (art. 28 PAmm). Per questi motivi; visti gli art. 39, 49 LE, da 35 a 52 RLE, 18, 28, 46 PAmm, dichiara e pronuncia: 1.           Per quanto ricevibile il ricorso é respinto. 2.           La tassa di giudizio e le spese, di fr. 300.-- (trecento), sono poste a carico della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