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52.1995.136 vom 27. September 1995</w:t>
      </w:r>
    </w:p>
    <w:p>
      <w:r>
        <w:t>TI Tribunale d'appello, 1995-09-27, IT</w:t>
      </w:r>
    </w:p>
    <w:p>
      <w:r>
        <w:rPr>
          <w:b/>
        </w:rPr>
        <w:t xml:space="preserve">Quelle: </w:t>
      </w:r>
      <w:r>
        <w:t>https://mcp.opencaselaw.ch/entscheid/ti_gerichte_52.1995.136</w:t>
      </w:r>
    </w:p>
    <w:p>
      <w:r>
        <w:t>FR: TI_GERICHTE 52.1995.136 du 27 septembre 1995</w:t>
      </w:r>
    </w:p>
    <w:p>
      <w:r>
        <w:t>IT: TI_GERICHTE 52.1995.136 del 27 settembre 1995</w:t>
      </w:r>
    </w:p>
    <w:p>
      <w:pPr>
        <w:pStyle w:val="Heading2"/>
      </w:pPr>
      <w:r>
        <w:t>Regeste</w:t>
      </w:r>
    </w:p>
    <w:p>
      <w:r>
        <w:t>Sentenza o decisione senza scheda</w:t>
      </w:r>
    </w:p>
    <w:p>
      <w:pPr>
        <w:pStyle w:val="Heading2"/>
      </w:pPr>
      <w:r>
        <w:t>Erwägungen</w:t>
      </w:r>
    </w:p>
    <w:p>
      <w:r>
        <w:rPr>
          <w:b/>
        </w:rPr>
        <w:t>E. 6</w:t>
      </w:r>
    </w:p>
    <w:p>
      <w:r>
        <w:t>Lstr). La loro costruzione, sistemazione e manutenzione spetta ai comuni medesimi (art. 4 cpv. 5 Lstr e, specificatamente per la manutenzione, art. 37 seg. Lstr; inoltre art. 2 cpv. 2 e 6 della legge sui percorsi pedonali ed i sentieri escursionistici del 9 febbraio 1994). Poiché la via __________ costituisce indubitabilmente un percorso pedonale nel senso della predetta, specifica normativa cantonale sulle strade, sui percorsi pedonali e sui sentieri escursionistici ne discende che il municipio non poteva, in applicazione di una normativa generale e comunque di rango subordinato, tale l'art. 27 RE, ordinare alla comunione ereditaria resistente di eseguire il ripristino del percorso medesimo: a tanto - così stabilisce la legislazione cantonale appena citata - deve dunque provvedere il comune stesso, poco importa che si tratti di costruzione, sistemazione o di semplice manutenzione. Non é infatti per nulla auspicabile che l'ente pubblico deleghi l'esecuzione di interventi su opere pubbliche così importanti come le strade ai privati, nemmeno (o forse tanto meno) quando - come nella fattispecie - li ritiene responsabili dei danni subiti dalle stesse. La circostanza secondo cui una parte importante dell'intervento dovrà essere effettuata sul fondo (attualmente di proprietà) della resistente non muta questa conclusione: ancor meno se, come il comune ha sostenuto per la prima volta in questa sede - dopo aver sempre affermato il contrario - il muro parzialmente franato riveste funzione di sostegno del sentiero (cfr. art. 3 Lstr). 2.2. Sulla scorta di quanto precede la risoluzione impugnata, con cui il Consiglio di Stato ha annullato l'ordine impartito il 26 novembre 1992 da parte del municipio di __________ agli eredi della fu __________ di ripristinare il sentiero costituente la via al Ronco, deve dunque essere confermata. Il sollecitato ripristino dovrà quindi essere eseguito dal predetto comune. A questo rimane beninteso riservato il diritto di domandare un risarcimento per il danno subito dal franamento del percorso pedonale nei confronti della resistente in applicazione delle norme di diritto civile così come di prelevare dei contributi di miglioria nei confronti dei proprietari cui l'intervento di ripristino del sentiero procurasse dei vantaggi particolari (cfr. in particolare all'ipotesi di cui all'art. 4 cpv. 1 lett. b e c LCMI). 3.   La tassa di giudizio deve essere posta a carico del comune di __________ (art. 28 PAmm), il quale deve altresì essere condannato a rifondere alla resistente un adeguato importo per ripetibili (art. 31 PAmm). Per questi motivi, visti gli art. 1, 2, 3, 4, 6, 37, 38 Lstr, 6 LCPS, 18, 28, 31 PAmm dichiara e pronuncia: 1.   Il ricorso è respinto. 2.   La tassa di giudizio, di fr. 800.--, é posta a carico del ricorrente, il quale rifonderà identico importo per ripetibili agli eredi della fu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