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52.1995.119 vom 28. April 1995</w:t>
      </w:r>
    </w:p>
    <w:p>
      <w:r>
        <w:t>TI Tribunale d'appello, 1995-04-28, IT</w:t>
      </w:r>
    </w:p>
    <w:p>
      <w:r>
        <w:rPr>
          <w:b/>
        </w:rPr>
        <w:t xml:space="preserve">Quelle: </w:t>
      </w:r>
      <w:r>
        <w:t>https://mcp.opencaselaw.ch/entscheid/ti_gerichte_52.1995.119</w:t>
      </w:r>
    </w:p>
    <w:p>
      <w:r>
        <w:t>FR: TI_GERICHTE 52.1995.119 du 28 avril 1995</w:t>
      </w:r>
    </w:p>
    <w:p>
      <w:r>
        <w:t>IT: TI_GERICHTE 52.1995.119 del 28 aprile 1995</w:t>
      </w:r>
    </w:p>
    <w:p>
      <w:pPr>
        <w:pStyle w:val="Heading2"/>
      </w:pPr>
      <w:r>
        <w:t>Volltext</w:t>
      </w:r>
    </w:p>
    <w:p>
      <w:r>
        <w:t>Incarto n.52.95.00119DP 16/94</w:t>
      </w:r>
    </w:p>
    <w:p>
      <w:r>
        <w:t>leo</w:t>
      </w:r>
    </w:p>
    <w:p>
      <w:r>
        <w:t>Lugano</w:t>
      </w:r>
    </w:p>
    <w:p>
      <w:r>
        <w:t>28 aprile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del 14 gennaio 1994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22 dicembre 1993 (n. 11104)del Consiglio di Stato inerente una domanda di costruzione;</w:t>
      </w:r>
    </w:p>
    <w:p>
      <w:r>
        <w:t>preso atto che in data 13 aprile 1995 la patrocinatrice della ricorrente ha comunicato di ritirare il ricorso;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