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50.2003.13 vom 2. September 2003</w:t>
      </w:r>
    </w:p>
    <w:p>
      <w:r>
        <w:t>TI Tribunale d'appello, 2003-09-02, IT</w:t>
      </w:r>
    </w:p>
    <w:p>
      <w:r>
        <w:rPr>
          <w:b/>
        </w:rPr>
        <w:t xml:space="preserve">Quelle: </w:t>
      </w:r>
      <w:r>
        <w:t>https://mcp.opencaselaw.ch/entscheid/ti_gerichte_50.2003.13</w:t>
      </w:r>
    </w:p>
    <w:p>
      <w:r>
        <w:t>FR: TI_GERICHTE 50.2003.13 du 2 septembre 2003</w:t>
      </w:r>
    </w:p>
    <w:p>
      <w:r>
        <w:t>IT: TI_GERICHTE 50.2003.13 del 2 settembre 2003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né tasse né spese.</w:t>
      </w:r>
    </w:p>
    <w:p>
      <w:r>
        <w:rPr>
          <w:b/>
        </w:rPr>
        <w:t>E. 3</w:t>
      </w:r>
    </w:p>
    <w:p>
      <w:r>
        <w:t>Intimazione a: Procuratore pubblico Antonio Perugini, __________, __________, __________ __________, __________, __________, Sezione esecuzione pene e misure, Taverne Il presidente: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