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50.2002.25 vom 6. Juni 2003</w:t>
      </w:r>
    </w:p>
    <w:p>
      <w:r>
        <w:t>TI Tribunale d'appello, 2003-06-06, IT</w:t>
      </w:r>
    </w:p>
    <w:p>
      <w:r>
        <w:rPr>
          <w:b/>
        </w:rPr>
        <w:t xml:space="preserve">Quelle: </w:t>
      </w:r>
      <w:r>
        <w:t>https://mcp.opencaselaw.ch/entscheid/ti_gerichte_50.2002.25</w:t>
      </w:r>
    </w:p>
    <w:p>
      <w:r>
        <w:t>FR: TI_GERICHTE 50.2002.25 du 6 juin 2003</w:t>
      </w:r>
    </w:p>
    <w:p>
      <w:r>
        <w:t>IT: TI_GERICHTE 50.2002.25 del 6 giugno 2003</w:t>
      </w:r>
    </w:p>
    <w:p>
      <w:pPr>
        <w:pStyle w:val="Heading2"/>
      </w:pPr>
      <w:r>
        <w:t>Regeste</w:t>
      </w:r>
    </w:p>
    <w:p>
      <w:r>
        <w:t>Sentenza o decisione senza scheda</w:t>
      </w:r>
    </w:p>
    <w:p>
      <w:pPr>
        <w:pStyle w:val="Heading2"/>
      </w:pPr>
      <w:r>
        <w:t>Erwägungen</w:t>
      </w:r>
    </w:p>
    <w:p>
      <w:r>
        <w:rPr>
          <w:b/>
        </w:rPr>
        <w:t>E. 22</w:t>
      </w:r>
    </w:p>
    <w:p>
      <w:r>
        <w:t>cpv. 3 Lstr; i provvedimenti adottati (mantenimento di un accesso e smussatura del marciapiede) concernono la strada vera e propria, in particolare un dettaglio costruttivo della medesima, e non hanno valenza di indennizzo espropriativo, tant'è che avrebbero potuto essere ordinati - a torto o a ragione - anche in assenza di un esproprio formale a carico del mapp. __________; che il ricorso proposto dallo Stato avverso quelle misure disposte a corollario dell'approvazione dei progetti definitivi afferenti alla sistemazione di via Iragna si avvera pertanto inammissibile; che il controverso ripristino del muro di cinta al mapp. __________, ancorché stabilito nell'ambito di una decisione resa in applicazione dell'art. 22 Lstr, si configura invece alla stregua di un'indennità di natura espropriativa, riconosciuta a __________ __________ in conseguenza della privazione del medesimo manufatto posto attualmente lungo la fascia di terreno che le verrà espropriata per realizzare il riassetto di via __________; il nesso tra l'espropriazione e la querelata prestazione posta a carico dello Stato risulta invero evidente; che in sede di notifica conseguente alla pubblicazione degli atti, la stessa proprietaria del mapp. __________ ha qualificato tutte le sue rivendicazioni alla stregua di pretese di natura espropriativa; che a differenza degli interventi imposti a beneficio della proprietà __________, quelli stabiliti a favore di __________ __________ tangono direttamente il mapp. __________ e sono volti a compensare in natura la perdita di un diritto sottratto in via d'esproprio ai fini della prevista sistemazione stradale; quest'ultimo aspetto deve prevalere in concreto sul fatto che la recinzione a confine potrebbe rientrare nel novero delle opere costruttive perfezionanti il progetto stradale definitivo; che accertato il carattere espropriativo delle disposizioni concernenti la part. __________, il ricorso è certamente ricevibile in ordine; la competenza del Tribunale cantonale amministrativo, la legittimazione attiva dell'insorgente e la tempestività del gravame sono infatti incontestabilmente date dagli art. 50 Lespr e 43 PAmm; che nel merito il ricorrente sollecita l'annullamento del dispositivo impugnato e il rinvio degli atti al Tribunale di espropriazione; che la domanda va accolta per ragioni dedotte dal principio dell'unitarietà dell'indennizzo espropriativo, il quale impone che quanto dovuto a __________ __________ a risarcimento del danno causato dall'esproprio venga fissato globalmente in una sola decisione; che sulla scorta di quanto precede il ricorso proposto contro la sentenza 1° ottobre 2002 resa nell'incarto no. 93/01-301 va dichiarato irricevibile, mentre quello inoltrato avverso il dispositivo 1.1. del giudizio di pari data prolato in re no. 93/01-315 va accolto; che date le circostanze questo Tribunale rinuncia al prelievo di una tassa di giustizia; Per questi motivi, visti gli art. visti gli art. 11 ss., 18 ss. Lstr; 9, 10, 11, 50, 70 Lespr; 3, 18, 28, 60 e 65 PAmm; dichiara e pronuncia: 1.   Il ricorso contro la sentenza 1° ottobre 2002 (no. 93/01-301) del Tribunale di espropriazione è irricevibile. 2.   Il ricorso contro la sentenza 1° ottobre 2002 (no. 93/01-315) del Tribunale di espropriazione è accolto. §.  Di conseguenza: 1.1.     il dispositivo 1.1. della predetta decisione è annullato; 1.2.     gli atti sono rinviati al Tribunale di espropriazione per il giudizio sulle indennità espropriative complessivamente dovute all'espropriata. 3.         Non si prelevano spese, né tassa di giustizia. Non si assegnano ripetibili.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