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50.2000.7 vom 18. September 2001</w:t>
      </w:r>
    </w:p>
    <w:p>
      <w:r>
        <w:t>TI Tribunale d'appello, 2001-09-18, IT</w:t>
      </w:r>
    </w:p>
    <w:p>
      <w:r>
        <w:rPr>
          <w:b/>
        </w:rPr>
        <w:t xml:space="preserve">Quelle: </w:t>
      </w:r>
      <w:r>
        <w:t>https://mcp.opencaselaw.ch/entscheid/ti_gerichte_50.2000.7</w:t>
      </w:r>
    </w:p>
    <w:p>
      <w:r>
        <w:t>FR: TI_GERICHTE 50.2000.7 du 18 septembre 2001</w:t>
      </w:r>
    </w:p>
    <w:p>
      <w:r>
        <w:t>IT: TI_GERICHTE 50.2000.7 del 18 settembre 2001</w:t>
      </w:r>
    </w:p>
    <w:p>
      <w:pPr>
        <w:pStyle w:val="Heading2"/>
      </w:pPr>
      <w:r>
        <w:t>Volltext</w:t>
      </w:r>
    </w:p>
    <w:p>
      <w:r>
        <w:t>Incarto n.50.2000.00007</w:t>
      </w:r>
    </w:p>
    <w:p>
      <w:r>
        <w:t>Lugano</w:t>
      </w:r>
    </w:p>
    <w:p>
      <w:r>
        <w:t>18 settembre 2001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 3 giugno 2000 di</w:t>
      </w:r>
    </w:p>
    <w:p>
      <w:r>
        <w:t>contro</w:t>
      </w:r>
    </w:p>
    <w:p>
      <w:r>
        <w:t>preso atto che il 13 settembre 2001 il rappresentante del ricorrente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