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50.1999.7 vom 21. Dezember 1999</w:t>
      </w:r>
    </w:p>
    <w:p>
      <w:r>
        <w:t>TI Tribunale d'appello, 1999-12-21, IT</w:t>
      </w:r>
    </w:p>
    <w:p>
      <w:r>
        <w:rPr>
          <w:b/>
        </w:rPr>
        <w:t xml:space="preserve">Quelle: </w:t>
      </w:r>
      <w:r>
        <w:t>https://mcp.opencaselaw.ch/entscheid/ti_gerichte_50.1999.7</w:t>
      </w:r>
    </w:p>
    <w:p>
      <w:r>
        <w:t>FR: TI_GERICHTE 50.1999.7 du 21 décembre 1999</w:t>
      </w:r>
    </w:p>
    <w:p>
      <w:r>
        <w:t>IT: TI_GERICHTE 50.1999.7 del 21 dicembre 1999</w:t>
      </w:r>
    </w:p>
    <w:p>
      <w:pPr>
        <w:pStyle w:val="Heading2"/>
      </w:pPr>
      <w:r>
        <w:t>Volltext</w:t>
      </w:r>
    </w:p>
    <w:p>
      <w:r>
        <w:t>Incarto n.50.1999.00007</w:t>
      </w:r>
    </w:p>
    <w:p>
      <w:r>
        <w:t>Lugano</w:t>
      </w:r>
    </w:p>
    <w:p>
      <w:r>
        <w:t>21 dicembre 1999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31 maggio 1999 di</w:t>
      </w:r>
    </w:p>
    <w:p>
      <w:r>
        <w:t>__________</w:t>
      </w:r>
    </w:p>
    <w:p>
      <w:r>
        <w:t>patr. da: avv. __________</w:t>
      </w:r>
    </w:p>
    <w:p>
      <w:r>
        <w:t>Contro</w:t>
      </w:r>
    </w:p>
    <w:p>
      <w:r>
        <w:t>la decisione 5 maggio 1999, no. 509/88, del Tribunale di espropriazione della giurisdizione sopracenerina;</w:t>
      </w:r>
    </w:p>
    <w:p>
      <w:r>
        <w:t>preso atto che in data 16 dicembre 1999 il patrocinatore del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