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50.1998.11 vom 18. August 1999</w:t>
      </w:r>
    </w:p>
    <w:p>
      <w:r>
        <w:t>TI Tribunale d'appello, 1999-08-18, IT</w:t>
      </w:r>
    </w:p>
    <w:p>
      <w:r>
        <w:rPr>
          <w:b/>
        </w:rPr>
        <w:t xml:space="preserve">Quelle: </w:t>
      </w:r>
      <w:r>
        <w:t>https://mcp.opencaselaw.ch/entscheid/ti_gerichte_50.1998.11</w:t>
      </w:r>
    </w:p>
    <w:p>
      <w:r>
        <w:t>FR: TI_GERICHTE 50.1998.11 du 18 août 1999</w:t>
      </w:r>
    </w:p>
    <w:p>
      <w:r>
        <w:t>IT: TI_GERICHTE 50.1998.11 del 18 agosto 1999</w:t>
      </w:r>
    </w:p>
    <w:p>
      <w:pPr>
        <w:pStyle w:val="Heading2"/>
      </w:pPr>
      <w:r>
        <w:t>Regeste</w:t>
      </w:r>
    </w:p>
    <w:p>
      <w:r>
        <w:t>Sentenza o decisione senza scheda</w:t>
      </w:r>
    </w:p>
    <w:p>
      <w:pPr>
        <w:pStyle w:val="Heading2"/>
      </w:pPr>
      <w:r>
        <w:t>Erwägungen</w:t>
      </w:r>
    </w:p>
    <w:p>
      <w:r>
        <w:rPr>
          <w:b/>
        </w:rPr>
        <w:t>E. 29</w:t>
      </w:r>
    </w:p>
    <w:p>
      <w:r>
        <w:t>cpv. 1 TOA - è però dovuto un onorario compreso tra il 20% ed il 70% di quello definito seguendo quel sistema. Per la definizione dell'onorario dovuto dalla parte vincente al suo patrocinatore - e, di conseguenza, delle ripetibili che spettano a questa - bisognerà pertanto avere riguardo in principio alla complessità ed all'importanza, al valore e all'estensione della pratica, alla competenza professionale ed alla responsabilità dell'avvocato, al tempo ed alla diligenza impiegati, alla situazione patrimoniale delle parti, all'esito conseguito ed alla sua prevedibilità (art. 8 TOA). L'art. 9 TOA stabilisce indi il modo (percentuale) per calcolare l'onorario secondo il valore della pratica (OV), quando questo è determinato o determinabile. L'art. 10 cpv. 1 TOA indica invece che nelle pratiche il cui valore non è determinabile, l'onorario deve essere calcolato in base al dispendio orario (OT), ritenuto un minimo di fr. 150.- all'ora: importo che, a 12 anni dall'entrata in vigore della TOA, è frattanto lievitato a fr. 200.- orari. L'art. 11 cpv. 1 TOA prevede infine la possibilità - e l'obbligo - di calcolare gli onorari combinando i criteri di cui agli art. 9 e 10 TOA per le pratiche di esiguo valore ma che hanno richiesto un cospicuo dispendio di tempo e nei casi di valore elevato ma che hanno richiesto un impegno limitato, nonché in pratiche di valore determinato quando le particolarità del caso e gli interessi patrimoniali in gioco non giustifichino l'applicazione integrale della tariffa secondo il valore. Ciò avverrà in particolare nei casi di cessazione del mandato per revoca o rinuncia, di cessazione della vertenza prima del compimento di atti giudiziali, di conclusione della causa per transazione, conciliazione, acquiescenza o desistenza, o perché la soluzione di un problema preliminare ha consentito di concluderlo prematuramente, oppure ancora per venire meno del motivo del contendere (art. 11 cpv. 2 TOA). La formula applicabile in simili evenienze, coniata dal Consiglio di Moderazione con decisione 10 settembre 1990 (pubbl. nel Bollettino dell'ordine degli avvocati, 1991, n. 1, pag. 15; inoltre RDAT II-1996 N. 11 consid. 8 e rinvii) ed adottata sia dalle Camere civili del Tribunale d'appello che da parte di questo Tribunale, è la seguente: onorario = (2 x OV x OT) : (OV + OT). L'art. 12 TOA istituisce infine alcune ipotesi in cui l'onorario può essere aumentato. 2.3. In concreto, il valore della causa __________ /__________ era di fr. 275'280.-. Nei contenziosi di espropriazione materiale il valore litigioso coincide infatti con le pretese notificate dalla parte attrice (cfr. pure art. 27 TOA, predisposto per le cause di espropriazione formale). Giusta l'art. 9 TOA, l'onorario ad valorem dovuto al patrocinatore dell'ente pubblico spazierebbe dunque tra i 13'764.- e i 22'022.- fr. (5-8% del valore litigioso). Sennonché la vertenza ha richiesto al legale del comune un impegno di tempo oggettivamente limitato, quantificabile in una ventina di ore: 8 ore per lo studio della pratica, altrettante per la stesura dell'allegato di risposta di 14 pagine, nonché 4 ore per la comparsa all'udienza di conciliazione, la redazione della brevissima memoria conclusiva ed il successivo intervento al dibattimento finale. Ne risulterebbe un onorario minimo ex art. 10 TOA di ca. fr. 4'400.-. Applicando la nota formula escogitata dal Consiglio di moderazione al fine di mediare l'onorario a tempo con quello a valore, si ottiene la cifra di fr. 6'670.- cui andrebbero ancora aggiunte le spese e l'IVA. Le ripetibili dovute al comune nella procedura innanzi al Tribunale di espropriazione possono quindi essere fissate in complessivi fr. 7'000.- come richiesto nel gravame. Indennità - questa - equa, ragionevole e adeguata sia alle prestazioni fornite che all'oggettiva importanza della pratica trattata dal patrocinatore del comune. 3.   Sulla scorta di quanto precede il ricorso è accolto. La tassa di giustizia e le ripetibili seguono la soccombenza dei resistenti __________ (art. 28 e 31 Pamm). Per questi motivi, visti gli art. 50, 70 Lespr; 18, 28 e 31 PAmm dichiara e pronuncia: 1.   Il ricorso è accolto. §.  Di conseguenza il dispositivo 2 della sentenza 21 ottobre 1998 (no. 41/87-103) del Tribunale di espropriazione della giurisdizione sottocenerina è annullato e riformato come segue: "2.  La tassa di giustizia in fr. 1'000.- e le spese sono a carico di __________ e __________ con l'obbligo di rifondere al Comune di __________ fr. 7'000.- per ripetibili." 2.   La tassa di giudizio di fr. 400.- è posta a carico dei resistenti __________ in solido, con l'ulteriore obbligo di versare al comune di __________ fr. 600.- per titolo di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