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50.1995.23 vom 5. Juni 1996</w:t>
      </w:r>
    </w:p>
    <w:p>
      <w:r>
        <w:t>TI Tribunale d'appello, 1996-06-05, IT</w:t>
      </w:r>
    </w:p>
    <w:p>
      <w:r>
        <w:rPr>
          <w:b/>
        </w:rPr>
        <w:t xml:space="preserve">Quelle: </w:t>
      </w:r>
      <w:r>
        <w:t>https://mcp.opencaselaw.ch/entscheid/ti_gerichte_50.1995.23</w:t>
      </w:r>
    </w:p>
    <w:p>
      <w:r>
        <w:t>FR: TI_GERICHTE 50.1995.23 du 5 juin 1996</w:t>
      </w:r>
    </w:p>
    <w:p>
      <w:r>
        <w:t>IT: TI_GERICHTE 50.1995.23 del 5 giugno 1996</w:t>
      </w:r>
    </w:p>
    <w:p>
      <w:pPr>
        <w:pStyle w:val="Heading2"/>
      </w:pPr>
      <w:r>
        <w:t>Volltext</w:t>
      </w:r>
    </w:p>
    <w:p>
      <w:r>
        <w:t>Incarto n.50.95.00023ES 15/95</w:t>
      </w:r>
    </w:p>
    <w:p>
      <w:r>
        <w:t>leo</w:t>
      </w:r>
    </w:p>
    <w:p>
      <w:r>
        <w:t>Lugano</w:t>
      </w:r>
    </w:p>
    <w:p>
      <w:r>
        <w:t>5 giugno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10 novembre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10 ottobre 1995 del Tribunale di espropriazione della giurisdizione sottocenerina;</w:t>
      </w:r>
    </w:p>
    <w:p>
      <w:r>
        <w:t>preso atto che il patrocinatore della ricorrente  in data 29 maggio 1996 ha dichiarato quanto segue:</w:t>
      </w:r>
    </w:p>
    <w:p>
      <w:r>
        <w:t>"vi comunico che la ricorrente __________, ritira il ricorso inoltrato in data 10 novembre 1995.</w:t>
      </w:r>
    </w:p>
    <w:p>
      <w:r>
        <w:t>Ciò avviene con l'accordo del comune di __________, il quale rinuncia alla pretesa di indennità per spese e ripetibili; d'altra parte, __________ rinuncia alle ripetibili assegnatele con sentenza 10 ottobre 1995 del Tribunale di espropriazione della giurisdizione sottocenerina."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