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42.2025.49</w:t>
      </w:r>
    </w:p>
    <w:p>
      <w:r>
        <w:t>TI Tribunale d'appello, IT</w:t>
      </w:r>
    </w:p>
    <w:p>
      <w:r>
        <w:rPr>
          <w:b/>
        </w:rPr>
        <w:t xml:space="preserve">Quelle: </w:t>
      </w:r>
      <w:r>
        <w:t>https://mcp.opencaselaw.ch/entscheid/ti_gerichte_42.2025.49</w:t>
      </w:r>
    </w:p>
    <w:p>
      <w:pPr>
        <w:pStyle w:val="Heading2"/>
      </w:pPr>
      <w:r>
        <w:t>Volltext</w:t>
      </w:r>
    </w:p>
    <w:p>
      <w:r>
        <w:t>Raccomandata</w:t>
      </w:r>
    </w:p>
    <w:p>
      <w:r>
        <w:t>Incarto n.42.2025.49-50</w:t>
      </w:r>
    </w:p>
    <w:p>
      <w:r>
        <w:t>rs</w:t>
      </w:r>
    </w:p>
    <w:p>
      <w:r>
        <w:t>Lugano</w:t>
      </w:r>
    </w:p>
    <w:p>
      <w:r>
        <w:t>16 marzo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2 ottobre 2025 di</w:t>
      </w:r>
    </w:p>
    <w:p>
      <w:r>
        <w:t>RI1,______</w:t>
      </w:r>
    </w:p>
    <w:p>
      <w:r>
        <w:t>contro</w:t>
      </w:r>
    </w:p>
    <w:p>
      <w:r>
        <w:t>le decisioni su reclamo del 4 e del 5 settembre 2025 emanate da</w:t>
      </w:r>
    </w:p>
    <w:p>
      <w:r>
        <w:t>Ufficio del sostegno sociale e dell'inserimento,6501Bellinzona</w:t>
      </w:r>
    </w:p>
    <w:p>
      <w:r>
        <w:t>in materia di assistenza sociale</w:t>
      </w:r>
    </w:p>
    <w:p>
      <w:r>
        <w:t>ritenutoin fatto</w:t>
      </w:r>
    </w:p>
    <w:p>
      <w:r>
        <w:t>1.9.  Con risposta del 23 ottobre 2025 lUSSI ha postulato la reiezione dellimpugnativa con argomenti di cui si dirà, per quanto occorra, nei considerandi di diritto (doc. III).</w:t>
      </w:r>
    </w:p>
    <w:p>
      <w:r>
        <w:t>consideratoin diritto</w:t>
      </w:r>
    </w:p>
    <w:p>
      <w:r>
        <w:t>2.1.Secondo lart. 76 cpv. 1 LPAmm - disposizione applicabile in virtù del rinvio al diritto sussidiario di cui allart. 31 della Lptca -, quando siano proposti davanti alla stessa Autorità più ricorsi il cui fondamento di fatto sia il medesimo, lAutorità può ordinare la congiunzione delle istruttorie, decidere i ricorsi con una sola decisione o sospendere una o più procedure in attesa della istruzione o della decisione delle altre.</w:t>
      </w:r>
    </w:p>
    <w:p>
      <w:r>
        <w:t>Nella concreta evenienza il ricorso presentato dallinsorgente è diretto contro due decisioni su reclamo emesseentrambe dallUSSI, le quali concernono fatti di ugual natura e presentano una stretta connessione materiale e giuridica.</w:t>
      </w:r>
    </w:p>
    <w:p>
      <w:r>
        <w:t>Per economia processualele procedure ricorsuali 42.2025.49 e 42.2025.50 sono, dunque, congiunte in un unico procedimento giudiziario (cfr.STF 8C_587/2024, 8C_589/2024 del 25 marzo 2025 consid. 1;STF 8C_108/2024, 8C_109/2024 del 1° luglio 2024 consid. 1;STF 8C_683/2021 del 13 luglio 2022 consid. 1; STF 9C_512/STF 8C_25/2022 del 9 marzo 2022 consid. 7; STF 9C_787/2020, 9C_22/2021 del 14 aprile 2021 consid. 1.; STF 9C_345/2020, 9C_346/2020 del 10 settembre 2020 consid. 1; STF 8C_63/2019, 8C_65/2019 dell11 giugno 2019 consid. 1;STF 748/2017, 9C_760/2017 del 13 febbraio 2018 consid. 2; STF 8C_913/2009, 8C_914/2009 del 7 dicembre 2009; DTF 131 V 59 consid. 1; DTF 128 V 124 consid. 1).</w:t>
      </w:r>
    </w:p>
    <w:p>
      <w:r>
        <w:t>2.3.  Lintervento della pubblica assistenza è regolato nel Cantone Ticino dalla Legge sullassistenza sociale dell8 marzo 1971 (Las).</w:t>
      </w:r>
    </w:p>
    <w:p>
      <w:r>
        <w:t>Tale normativa è stata oggetto di modifiche, valide in particolare dal 1° febbraio 2003 (cfr. fu 99/2002 del 10 dicembre 2002 pag. 8289 segg.) e dal 1° ottobre 2006 (cfr. BU 44/2006 del 29 settembre 2006 pag. 385-386; BU 40/2006 del 8 settembre 2006 pag. 313-317), resesi necessarie a seguito delladozione, il 26 giugno 2002, della Legge sullarmonizzazione e il coordinamento delle prestazioni sociali (Laps) in vigore dal 1° febbraio 2003 (cfr. FU 53/2002 del 2 luglio 2002 pag. 4752 segg.; BU 3/2003 del 31 gennaio2003).</w:t>
      </w:r>
    </w:p>
    <w:p>
      <w:r>
        <w:t>Lart. 67 Las, relativo allobbligo di informazione in generale, prevede che:</w:t>
      </w:r>
    </w:p>
    <w:p>
      <w:r>
        <w:t>"Il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w:t>
      </w:r>
    </w:p>
    <w:p>
      <w:r>
        <w:t>A richiesta, linteressato deve svincolare ogni Autorità, ente privato o pubblico e ogni terzo in genere dal segreto dufficio, rispettivamente dal segreto professionale. (cpv. 2)"</w:t>
      </w:r>
    </w:p>
    <w:p>
      <w:r>
        <w:t>Giusta lart. 68 Las, afferente allobbligo di informazione in particolare:</w:t>
      </w:r>
    </w:p>
    <w:p>
      <w:r>
        <w:t>"Lassistito è tenuto a segnalare immediatamente agli organi dellassistenza sociale ogni cambiamento intervenuto nelle sue condizioni personali o finanziarie tale da implicare la modificazione, la riduzione o la soppressione delle prestazioni assistenziali. (cpv. 1)</w:t>
      </w:r>
    </w:p>
    <w:p>
      <w:r>
        <w:t>Lassistito è tenuto a segnalare tempestivamente agli organi dellassistenza sociale leventuale suo cambiamento di domicilio, come pure leventuale sua intenzione di soggiorni prolungati fuori del luogo di domicilio. (cpv. 2)"</w:t>
      </w:r>
    </w:p>
    <w:p>
      <w:r>
        <w:t>2.4.  Per quanto concerne le prestazioni ottenute indebitamente, lart. 36 Las sancisce:</w:t>
      </w:r>
    </w:p>
    <w:p>
      <w:r>
        <w:t>Ai sensi dellart. 26 cpv. 1-3 Laps, riguardante l'obbligo di restituzione e il condono:</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È utile ricordare, del resto, cheè tenuta alla restituzione ogni persona che ha beneficiato di una prestazione, alla quale, da un profilo oggettivo, non aveva diritto. La prestazione è, perciò, stata erogata in contrasto con la legge.Infatti è determinante la necessità di ristabilire lordine legale dopo la scoperta del fatto nuovo.A questo stadio è irrilevante sapere se linteressato fosse in buona fede oppure no quando ha ricevuto l'indebita prestazione. Il problema della buona fede è oggetto di esame nell'ambito della procedura successiva di condono (cfr.STF 9C_398/2021 del 22 febbraio 2022 consid. 5.3.;STF 9C_321/2020 del 2 luglio 2021 consid. 7.3.2., pubblicata in DTF 147 V 417; STF 8C_689/2016 del 5 luglio 2017 consid. 3.1.; DTF 122 V 134 consid. 2e; STFA P 91/02 dell'8 marzo 2004 consid. 3.2;STFA C 25/00 del 20 ottobre 2000;Widmer, Die Rückerstattung unrechtmässig bezogener Leistungen in den Sozialversicherungen, Tesi, Basilea 1984, pag. 125 a 127; FF 1946 II pag. 527-528, edizione francese).</w:t>
      </w:r>
    </w:p>
    <w:p>
      <w:r>
        <w:t>2.5.  Nellambito dellassistenza sociale vige il principio di sussidiarietà di cui agli art. 2 Las e 13 Laps.</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 3.7.1.; Disposizioni COSAS del 2005, aggiornate nel dicembre 2007, p.to A.4;C. Hänzi, Die Richtlinien der schweizerischen Konferenz für Sozialhilfe", Ed. Helbing Lichtenhahn, Basilea 2011 pag. 171-172; 114-115).</w:t>
      </w:r>
    </w:p>
    <w:p>
      <w:r>
        <w:t>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In una sentenza 8C_344/2019 del 15 novembre 2019 consid. 6.4., già citata sopra, lAlta Corte ha altresì osservato:</w:t>
      </w:r>
    </w:p>
    <w:p>
      <w:r>
        <w:t>"()l'aiuto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w:t>
      </w:r>
    </w:p>
    <w:p>
      <w:r>
        <w:t>In dottrinaC. Hänzi(Die Richtlinien der schweizerischen Konferenz für Sozialhilfe". Ed. Helbing Lichtenhahn, Basilea 2011), riguardo alla funzione delle disposizioni CSIAS, evidenzia quanto segue:</w:t>
      </w:r>
    </w:p>
    <w:p>
      <w:r>
        <w:t>"In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Verbindlichkeit."(pag. 171-172).</w:t>
      </w:r>
    </w:p>
    <w:p>
      <w:r>
        <w:t>Questultimo, tuttavia, deve tenerne conto per prendere la sua decisione nella misura in cui queste ultime permettono uninterpretazione delle disposizioni legali applicabili giustificata nel caso di specie (cfr.STF 8C_166/2025 del 19 gennaio 2026 consid. 2.4.;STF 8C_224/2024 del 2 settembre 2025 consid. 2.4.; STF 9C_230/2024 del 21 gennaio 2025 consid. 4.1.;STF 8C_425/2023 del 21 maggio 2024 consid. 4.3.;STF 8C_532/2023 del 17 aprile 2024 consid. 4.4.; STF 8C_322/2022 del 30 gennaio 2023 consid. 4.3.1.; STF 8C_769/2021 del 3 maggio 2022 consid. 3.3.; DTF 148 V 144 consid. 3.1.3.; DTF 147 V 342 consid. 5.5.2.2.; STF 8C_214/2020 del 18 febbraio 2021 consid.3.2; DTF 146 V 224; DTF 146 V 104; DTF 145 V 224 consid. 6.1.1; DTF 142 V 442 consid. 5.2 pag. 445 seg.; DTF 140 V 314 consid. 3.3 pag. 317; DTF 138 V 50 consid.4.1;DTF 133 V 587 consid. 6.1 pag. 591;DTF 131 V 286 consid. 5.1.; DTF 131 V 45 consid.2.3; DTF 130 V 229 consid.2.1.;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527;D.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(cfr. DTF 151 V 264 consid. 6.2.; STF 9C_442/2021 del 17 marzo 2022 consid.3.3.; DTF 118 V 32; DTF 109 V 169 consid. 3b).</w:t>
      </w:r>
    </w:p>
    <w:p>
      <w:r>
        <w:t>Ildovere delle parti di collaborare allistruzione della causa, che limita la portata del principio inquisitorio reggente la procedura nellambito delle assicurazioni sociali e dellassistenza sociale, comprende infatti, in particolare, l'obbligo delle parti di apportare - ove ciò fosse ragionevolmente esigibile - le prove necessarie, avuto riguardo alla natura della disputa e ai fatti invocati (cfr. art. art. 43 cpv. 3 e 61 lett. c LPGA; art. 16 Lptca).</w:t>
      </w:r>
    </w:p>
    <w:p>
      <w:r>
        <w:t>In caso contrario le parti rischiano di dover sopportare le conseguenze della carenza di prove (cfr. STF 8C_268/2024 del 5 novembre 2024 consid. 4.2.2.; DTF 149 V 250 consid. 6.2.1.; STF 8C_693/2020 del 26 luglio 2021 consid. 4.1.; STF 8C_326/2019 dell8 maggio 2020 consid. 4.4.; STF 8C_309/2015 del 21 ottobre 2015 consid. 6.2.; STF 9C_694/2014 del 1° aprile 2015 consid. 3.2.; STF 9C_978/2010 del 14 aprile 2011 consid. 4.1.; DTF 125 V 195 consid. 2 con riferimenti).</w:t>
      </w:r>
    </w:p>
    <w:p>
      <w:r>
        <w:t>Per costante giurisprudenza federale è possibile, tuttavia, pronunciare una decisione di condono solo al momento della crescita in giudicato formale della decisione di restituzione, ritenuto, da un lato, che unicamente in quel caso tale obbligo è stabilito definitivamente, dallaltro, che il condono deve essere oggetto di una procedura distinta(cfr. STF 8C_107/2025 del 18 giugno 2025 consid. 8;STF 8C_118/2022 del 9 agosto 2022 consid. 4.3.2.; STF 8C_108/2021 del 9 luglio 2021 consid. 5.3.; STF 8C_405/2020 del 3 febbraio 2021 consid. 5.2.;STF 8C_589/2016 del 26 aprile 2017; STF 9C_211/2009 del 26 febbraio 2010; STF 8C_130/2008 dell'11 luglio 2008; STF 8C_617/2009 del 5 novembre 2009).</w:t>
      </w:r>
    </w:p>
    <w:p>
      <w:r>
        <w:t>Pertanto, nel caso in cui lordine di restituzione dovesse essere confermato a seguito degli accertamenti che effettuerà lamministrazione (cfr. consid. 2.11.), la domanda di condono sarà esaminata, con separato provvedimento, dopo che la decisione di restituzione sarà cresciuta in giudicato.</w:t>
      </w:r>
    </w:p>
    <w:p>
      <w:r>
        <w:t>La parte resistente si è già espressa in tal senso nella risposta di causa (cfr. doc. III pag. 4).</w:t>
      </w:r>
    </w:p>
    <w:p>
      <w:r>
        <w:t>Il cpv. 3 sancisce che la decisione di riduzione stabilisce la durata della sanzione, alla cui scadenza vi sarà una rivalutazione della situazione da parte dellautorità decidente, con la possibilità di rinnovare la decisione nel caso in cui le condizioni materiali per una riduzione siano ancora date.</w:t>
      </w:r>
    </w:p>
    <w:p>
      <w:r>
        <w:t>Secondo il cpv. 4 contro la decisione sono dati i rimedi di diritto di cui allart. 33 della Leggesull'armonizzazione e il coordinamento delle prestazioni sociali(Laps). Il reclamo ed il ricorso non hanno effetto sospensivo.</w:t>
      </w:r>
    </w:p>
    <w:p>
      <w:r>
        <w:t>2.18.In ambito di assistenza sociale, per quanto concerne la procedura dinanzi al TCA, si applica la legge di procedura per le cause davanti al Tribunale cantonale delle assicurazioni (Lptca) e, per quanto non disposto da questa legge, torna applicabile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42.2025.38 del 10 dicembre 2025 consid. 2.11.; STCA 42.2025.9 del 20 giugno 2025 consid. 2.10.; STCA 42.2025.6-7 del 19 maggio 2025 consid. 2.25., confermata dal TF con giudizio 8C_371/2025 del 21 gennaio 2026;STCA 42.2024.47-48 del 31 marzo 2025 consid. 2.20.;STCA 42.2024.38 del 27 gennaio 2025 consid. 2.17.; STCA 42.2023.45 del 21 febbraio 2024 consid. 2.10.;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t>Per questi motivi</w:t>
      </w:r>
    </w:p>
    <w:p>
      <w:r>
        <w:t>dichiara e pronuncia</w:t>
      </w:r>
    </w:p>
    <w:p>
      <w:r>
        <w:t>§   La decisione su reclamo del 4 settembre 2025 è annullata.</w:t>
      </w:r>
    </w:p>
    <w:p>
      <w:r>
        <w:t>§§ Gli atti sono rinviati allUSSI per nuovi accertamenti secondo quanto indicato ai consid. 2.11.-2.12.</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