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42.2025.36 vom 10. Dezember 2025</w:t>
      </w:r>
    </w:p>
    <w:p>
      <w:r>
        <w:t>TI Tribunale d'appello, 2025-12-10, IT</w:t>
      </w:r>
    </w:p>
    <w:p>
      <w:r>
        <w:rPr>
          <w:b/>
        </w:rPr>
        <w:t xml:space="preserve">Quelle: </w:t>
      </w:r>
      <w:r>
        <w:t>https://mcp.opencaselaw.ch/entscheid/ti_gerichte_42.2025.36</w:t>
      </w:r>
    </w:p>
    <w:p>
      <w:r>
        <w:t>FR: TI_GERICHTE 42.2025.36 du 10 décembre 2025</w:t>
      </w:r>
    </w:p>
    <w:p>
      <w:r>
        <w:t>IT: TI_GERICHTE 42.2025.36 del 10 dicembre 2025</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2.5</w:t>
      </w:r>
    </w:p>
    <w:p>
      <w:r>
        <w:t>L’art. 8g Reg.Las prevede che le prestazioni speciali vengono stabilite tenendo conto delle direttive emanate dalla Conferenza svizzera delle istituzioni dell’azione sociale. Le linee guida della Conferenza svizzera delle istituzioni dell’azione sociale - CSIAS al p.to C.6.6. cpv. 2 enunciano che in caso di trasloco sono di norma prese a carico le spese necessarie, in particolare per un veicolo a noleggio o per lo smaltimento degli ingombranti. Le spese delle ditte di trasporto e di pulizia sono prese a carico solo in casi motivati. Dal canto loro le “Direttive riguardanti gli importi delle prestazioni assistenziali per il 2025” del 13 dicembre 2024 emesse dal Dipartimento della sanità e della socialità del Cantone Ticino (cfr. BU N. 43 del 27 dicembre 2024 pag. 368 segg.) ai p.ti 4 e 4.2.b prevedono: "</w:t>
      </w:r>
    </w:p>
    <w:p>
      <w:r>
        <w:rPr>
          <w:b/>
        </w:rPr>
        <w:t>E. 2.11</w:t>
      </w:r>
    </w:p>
    <w:p>
      <w:r>
        <w:t>In ambito di assistenza sociale, per quanto concerne la procedura dinanzi al TCA, si applica la legge di procedura per le cause davanti al Tribunale cantonale delle assicurazioni (Lptca) e, per quanto non disposto da questa legge, torna applicabile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w:t>
      </w:r>
    </w:p>
    <w:p>
      <w:r>
        <w:rPr>
          <w:b/>
        </w:rPr>
        <w:t>E. 3</w:t>
      </w:r>
    </w:p>
    <w:p>
      <w:r>
        <w:t>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L'art. 20 Las definisce, invece, le prestazioni speciali: " Le prestazioni speciali sono destinate a coprire dei bisogni particolari, quali ad esempio: a) spese di formazione; b) franchigie, partecipazioni, spese dentarie e spese straordinarie dovute a malattia o handicap; c) determinate assicurazioni; d) misure che favoriscono l’integrazione sociale e l’inserimento professionale; e) spese di collocamento diurno di figli minorenni; f)  spese di collocamento in istituto; g) spese di sepoltura. (cpv. 1) Possono inoltre essere concesse prestazioni speciali per fare fronte per un periodo limitato a spese vincolate o per l’alloggio superiori ai limiti previsti dall’art. 22. (cpv. 2) Le prestazioni speciali possono essere cumulate alle prestazioni ordinarie, o essere indipendenti quando le risorse del beneficiario raggiungono o superano la soglia d’intervento ma non coprono il bisogno specifico cui esse sono destinate. (cpv. 3). 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 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42.2024.50 del 3 febbraio 2025 consid. 2.9.-2.10.; STCA 42.2004.3 del 17 maggio 2005, pubblicata in RtiD II-2005 N. 14 pag. 59 segg.). L’art. 20 cpv. 1 Las prevede un elenco di prestazioni non esaustivo. In effetti la lista di prestazioni menzionata è preceduta da “ad esempio”, il che significa che la stessa non è completa, bensì soltanto esemplificativa.</w:t>
      </w:r>
    </w:p>
    <w:p>
      <w:r>
        <w:rPr>
          <w:b/>
        </w:rPr>
        <w:t>E. 3.2</w:t>
      </w:r>
    </w:p>
    <w:p>
      <w:r>
        <w:t>p. 347 et les références). (…)" Pertanto l’insorgente, qualora il disturbo causato dai vicini non fosse più stato oggettivamente moderato e avesse, invece, superato una misura accettabile, avrebbe dovuto in prima battuta e in modo sistematico rivolgersi all’amministrazione dello stabile al fine di fare cessare perlomeno i rumori e gli altri disagi menzionati, e non limitarsi a inviare un solo messaggio di posta elettronica nel novembre 2023 per poi attendere in modo inattivo fino a fine maggio / inizio giugno 2025, quando ha disdetto il contratto di locazione. Non va, del resto, dimenticato che ai sensi dell’art. 259a CO: " 1 Se sopravvengono difetti della cosa che non gli sono imputabili né sono a suo carico, oppure se è turbato nell’uso pattuito della cosa, il conduttore può esigere dal locatore: a. l’eliminazione del difetto; b. una riduzione proporzionale del corrispettivo; c. il risarcimento dei danni; d. l’assunzione della lite contro un terzo. 2 Il conduttore di un immobile può inoltre depositare la pigione." In simili condizioni occorre concludere che a ragione la parte resistente non ha riconosciuto le spese di trasloco fatte valere dal ricorrente. 2.10.  Stante quanto precede, la decisione su reclamo del 31 luglio 2025 impugnata deve essere confermata.</w:t>
      </w:r>
    </w:p>
    <w:p>
      <w:r>
        <w:rPr>
          <w:b/>
        </w:rPr>
        <w:t>E. 4</w:t>
      </w:r>
    </w:p>
    <w:p>
      <w:r>
        <w:t>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42.2025.9 del 20 giugno 2025 consid. 2.10.; STCA 42.2024.38 del 27 gennaio 2025 consid. 2.17.; STCA 42.2024.56 del 31 marzo 2025 consid. 2.17.;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4.2</w:t>
      </w:r>
    </w:p>
    <w:p>
      <w:r>
        <w:t>Prestazioni speciali Il trasferimento in un nuovo appartamento genera dei costi supplementari, legati ad esempio al trasloco, al mobilio e al deposito di garanzia. Per questo motivo, il beneficiario che intende trasferirsi in un nuovo appartamento deve previamente informare l’USSI/URAR, precisando i motivi del cambiamento, la pigione prevista nel nuovo appartamento e l’importo previsto quale deposito di garanzia. L’USSI/URAR può riconoscere questi costi, così come quelli relativi all’acquisto di mobilio, unicamente se sono stati oggetto di una richiesta formale preventiva. Tali richieste, che devono essere debitamente documentate e motivate, devono rientrare nelle seguenti casistiche: · una comprovata necessità, segnatamente per la nascita di un figlio, l’inizio di un’attività lavorativa o formazione al fine di ridurre costi di trasferta e di doppia economia domestica oppure; · una riduzione dei costi della pigione rispetto al precedente appartamento oppure; · altri motivi comprovati, segnatamente uno sfratto già esecutivo se non sono possibili soluzioni alternative. Le richieste inerenti il mobilio che non dipendono dalla modifica del domicilio devono comunque essere richieste preventivamente e validate dall’USSI/URAR secondo i criteri ripresi sopra. Le singole prestazioni per l’alloggio sono riconosciute per l’unità di riferimento entro i limiti temporali e di spesa indicate nelle lettere a – d. Se nell’abitazione o appartamento convivono altre persone che non fanno parte dell’unità di riferimento del richiedente, per definire il limite di spesa viene considerato il numero totale delle persone che occupano l’abitazione; la prestazione è in seguito concessa fino ad un massimo pari alla quota-parte imputabile ai membri dell’unità di riferimento. (…) b. Trasloco La spesa per il trasloco è riconosciuta ogni 5 anni (60 mesi) e se il cambio domicilio è previamente autorizzato dall’USSI/URAR (vedi disposizioni generali). Il contributo è riconosciuto con i seguenti importi massimi: · per unità di riferimento quale persona sola: fino ad un massimo di 1’000 franchi; · per unità di riferimento di due persone: fino ad un massimo di 1’500 franchi; · per ogni persona supplementare: 300 franchi fino ad un massimo di 3’000 franchi. (…)" 2.6.  Le direttive amministrative non costituiscono norme giuridiche e non sono vincolanti per il giudice delle assicurazioni sociali (cfr. DTF 151 V 137 consid. 4.3.;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8C_224/2024 del 2 settembre 2025 consid. 2.4. ; STF 9C_230/2024 del 21 gennaio 2025 consid. 4.1.; STF 8C_425/2023 del 21 maggio 2024 consid. 4.3.; STF 8C_532/2023 del 17 aprile 2024 consid. 4.4.;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D.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8C_669/2023 del 1° aprile 2025 consid. 6.2., destinata alla pubblicazione nella Raccolta ufficiale; STF 9C_442/2021 del 17 marzo 2022 consid. 3.3.; DTF 118 V 32, DTF 109 V 169 consid. 3b). 2.7.  Dalle Direttive cantonali concernenti i costi supplementari connessi al trasferimento in un nuovo appartamento menzionate al consid. 2.5. si evince, da un lato, che l’assistenza sociale può riconoscere a titolo di prestazioni assistenziali speciali delle spese riguardanti l’alloggio, e meglio il deposito di garanzia per l’appartamento, i costi di trasloco, la spesa per l’acquisto di mobilio e per l’assicurazione RC ed economia domestica. Dall’altro, che per poter beneficiare, in particolare, dell’assunzione dei costi relativi al trasloco è, però, indispensabile che l’USSI abbia previamente autorizzato il cambio domicilio sulla base di una domanda che precisi i motivi del cambiamento, la pigione prevista nel nuovo appartamento e l’importo previsto quale deposito di garanzia. La condizione del rilascio di un’autorizzazione preliminare al trasferimento in un nuovo appartamento da parte dell’amministrazione imposta a coloro che desiderano richiedere delle prestazioni assistenziali speciali afferenti all’alloggio consente all’USSI di avere un controllo preventivo dei motivi del cambiamento e dei costi, così da limitare tali spese. Un ulteriore vantaggio, fondamentale per i richiedenti e a loro vantaggio, risulta essere quello di evitare che questi ultimi - i quali si trovano già in una difficile situazione finanziaria - concludano contratti di locazione con pigioni elevate e conseguentemente si indebitino, ossia debbano sostenere una spesa che non potrà essere assunta totalmente dall’USSI (giusta l’art. 22 lett. c Las, ai fini della determinazione della prestazione assistenziale, viene considerato l’affitto maggiorato delle spese accessorie effettive fino al massimale previsto dall’art. 9 Laps. Secondo l’art. 9 cpv. 1 lett. a e b Laps per le unità di riferimento composte di una persona la spesa per l’alloggio è computata fino a un massimo corrispondente all’importo riconosciuto dalla legislazione sulle prestazioni complementari all'AVS/AI per la persona sola. Per le unità di riferimento composte di due persone si tiene conto di una spesa per l’alloggio fino a un massimo corrispondente all’importo riconosciuto dalla legislazione sulle prestazioni complementari all'AVS/AI per i coniugi, mentre per le unità di riferimento composte da più di due persone è computato al massimo l’importo riconosciuto dalla legislazione sulle prestazioni complementari all'AVS/AI per i coniugi maggiorato del 20%; per quanto concerne gli importi massimi validi per agli anni 2023, 2024, e 2025 cfr. STCA 42.2024.41 del 27 gennaio 2025 consid. 2.5.; STCA 39.2025.5 del 30 ottobre 2025 consid. 2.4., non ancora cresciuta in giudicato). 2.8.  Nella presente evenienza dalle carte processuali si evince che il ricorrente, nel maggio 2020, ha concluso con ______ SA, rappresentante dei locatori, un contratto di locazione relativo a un appartamento di 1 e ½ locali in Via ______ a ______, valido dal 1° ottobre 2020 con possibilità di disdetta la prima volta per il 30 settembre 2025 con preavviso di tre mesi. La pigione è stata pattuita in fr. 790.-- mensili (fr. 9'480.-- annui), oltre a fr. 100.-- al mese (fr. 1'200.--all’anno) di spese accessorie (cfr. doc. 267). Nel calcolo delle prestazioni assistenziali ordinarie spettanti all’insorgente l’USSI ha, di conseguenza, computato, a decorrere dal mese di ottobre 2020, l’ammontare di fr. 10'680.-- (fr. 9'480 + fr. 1'200) quale spesa per l’alloggio. Ciò risulta, segnatamente, dalle tabelle di calcolo delle decisioni riguardanti i periodi gennaio – marzo 2025, aprile 2025, maggio 2025, giugno – agosto 2025 emesse dalla parte resistente il 2 gennaio 2025, il 25 marzo 2025, il 22 aprile 2025, il 21 maggio 2025 e l’8 luglio 2025 (che ha annullato e sostituito il provvedimento del 21 maggio 2025 per i mesi di luglio e agosto 2025), con le quali quest’ultima ha riconosciuto al ricorrente una prestazione ordinaria di fr. 1'951.-- mensile (cfr. doc. 263-266; 215-218; 195-198; 167-170; 51-54). All’inizio del mese di giugno 2025 l’insorgente ha informato l’amministrazione di avere disdetto il contrato di locazione menzionato per il 30 settembre 2025 e di avere trovato un nuovo appartamento (cfr. doc. 78; consid. 1.2.). Egli ha allegato la bozza del nuovo contratto da cui emerge che la locazione concerne un’abitazione di 2 e ½ locali sita in Via ______ a ______ con inizio dal 1° ottobre 2025 e prima scadenza per la disdetta al 30 settembre 2028 con preavviso di tre mesi. Il canone mensile è di fr. 1'100.-- al mese, oltre a fr. 165.-- di acconto spese mensile (cfr. doc. 78-80). Il ricorrente, nello scritto del 2 giugno 2025, ha chiesto all’USSI una conferma al fine di perfezionare il nuovo contratto di locazione (cfr. doc. 78). L’amministrazione, con decisione del 5 giugno 2025, l’ha però rifiutata, negando che il trasferimento nell’appartamento di ______ fosse giustificato (cfr. doc. 77=136; consid. 1.3.). Con decisione su reclamo del 31 luglio 2025, l’USSI ha respinto il reclamo inoltrato dall’insorgente e tendente ad ottenere l’avallo del nuovo contratto di locazione e, conseguentemente, il riconoscimento delle spese di trasloco, non avendo un mezzo privato (cfr. doc. 69=128; consid. 1.4.), considerando, da un lato, il fatto che il medesimo non l’avesse preventivamente, ossia prima di disdire il precedente contratto di locazione, informato di voler cambiare abitazione. Dall’altra, che “non esiste nessuna comprovata oggettiva necessità al trasferimento e che la nuova pigione presenta dei costi alloggiativi più alti di quella attuale” (cfr. doc. A1; consid. 1.5.). 2.9.  Chiamata a dirimere la presente fattispecie, questa Corte ribadisce, innanzitutto, che le Direttive riguardanti gli importi delle prestazioni assistenziali per il 2025 prevedono che la spesa per il trasloco è riconosciuta ogni 5 anni a condizione che il cambio domicilio sia previamente autorizzato dall’USSI (cfr. consid. 2.5.; 2.7.). In concreto il ricorrente ha sì inviato la bozza del nuovo contratto all’amministrazione antecedentemente alla relativa conclusione (cfr. consid. 2.8.). Tuttavia egli ha disdetto il contratto di locazione dell’appartamento di 1 e ½ locali a ______ (con canone locativo di fr. 790.-- al mese, oltre alle spese accessorie di fr. 100.-- mensili; cfr. consid. 2.8.) concluso nel 2020 senza informare prima l’USSI delle sue intenzioni, precisando i motivi del cambiamento, la pigione prevista nel nuovo appartamento e l’importo del deposito di garanzia (cfr. consid. 2.5.). Dalla bozza del nuovo contratto emerge, altresì, che la locazione concerne un’abitazione sita in Via ______ a ______ più ampia rispetto a quella di ______ (2 e ½ locali invece di 1 e ½) e con una pigione e spese (fr. 1'100.-- al mese, oltre a fr. 165.-- di acconto spese mensile; cfr. doc. 78-80) più elevate. È vero che l’insorgente ha affermato di aver disdetto il contratto di locazione relativo all’appartamento a ______ a causa di problematiche connesse ai vicini di casa molesti e di tentativi di scasso nello stabile e nel suo appartamento (cfr. doc. 78; 69=128; I; consid. 1.2.; 1.4.; 1.6.). È altrettanto vero, però, che tali questioni non risultano a tal punto gravi da costituire delle valide ragioni per non avere richiesto l’autorizzazione all’USSI di cambiamento di abitazione. In effetti agli atti, come osservato dall’amministrazione e non smentito dall’insorgente (cfr. doc. A1; III; consid. 1.5.), risulta unicamente un messaggio di posta elettronica inviato dal ricorrente alla ______ SA, rappresentante dei locatori, il 6 novembre 2023, in cui ha indicato: " abito nella palazzina di Via ______ a ______. Il numero del mio interno è il ___, al ______ piano. Nell’appartamento vicino al mio, abita la famiglia ______. Gli amici della figlia continuano a prendere a calci la porta del mio appartamento, suonare il mio campanello, e disturbano in maniera continua e deliberata, nonostante gli abbia detto più volte di smettere. Sono ragazzini minorenni, ma questo non li giustifica a disturbare la quiete altrui, per non dire di peggio. Ho un contratto con voi, in cui figurano determinate condizioni, che non vengono rispettate. La madre, ______, è la persona adulta e quindi responsabile. Che lei sia presente o meno mentre ciò avviene, e che lei sia capace o meni di educarli, non è un problema mio. Vi chiedo quindi di mandare loro un avviso al riguardo .” (Doc. A4) Non sono state formulate ulteriori reclamazioni, né hanno avuto luogo denunce o querele in relazioni ai tentativi di scasso e ai danni pretesi. È, peraltro, utile evidenziare che l’art. 256 cpv. 1 CO prevede che il locatore deve consegnare la cosa nel momento pattuito, in stato idoneo all’uso cui è destinata e mantenerla tale per la durata della locazione. In particolare se l’uso della cosa, così come è stato concordato, risulta diminuito o perturbato dal comportamento da parte di terzi, segnatamente degli altri occupanti dell’immobile (violenze, emanazioni nocive, rumori, minacce, ecc.) la cosa è difettosa. Tale obbligo sussiste anche se il locatario dispone di mezzi di difesa propri (cfr. STF 4C.39/2003 del 23 aprile 2003 consid. 4.; Pierre Tercier, Laurent Bieri, Blaise Carron , Les contrats spéciaux, Zurigo 2016, n. 1725; David Lachat , Le bail à loyer, 2008, pag. 216 e 218 seg.). In una sentenza 4A_208/2015 del 12 febbraio 2016 consid. 3.1. il Tribunale federale ha precisato: " (…) Conformément à l' art. 256 al. 1 CO , le bailleur doit délivrer la chose dans un état approprié à l'usage pour lequel elle a été louée, puis l'entretenir dans cet état. Cette obligation du bailleur permet de cerner la notion du défaut, dès lors que celui-ci n'est défini ni à l' 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sur laquelle le locataire pouvait légitimement compter en se référant à l'état approprié à l'usage convenu ( ATF 135 III 345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