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42.2025.28 vom 21. Juli 2025</w:t>
      </w:r>
    </w:p>
    <w:p>
      <w:r>
        <w:t>TI Tribunale d'appello, 2025-07-21, IT</w:t>
      </w:r>
    </w:p>
    <w:p>
      <w:r>
        <w:rPr>
          <w:b/>
        </w:rPr>
        <w:t xml:space="preserve">Quelle: </w:t>
      </w:r>
      <w:r>
        <w:t>https://mcp.opencaselaw.ch/entscheid/ti_gerichte_42.2025.28</w:t>
      </w:r>
    </w:p>
    <w:p>
      <w:r>
        <w:t>FR: TI_GERICHTE 42.2025.28 du 21 juillet 2025</w:t>
      </w:r>
    </w:p>
    <w:p>
      <w:r>
        <w:t>IT: TI_GERICHTE 42.2025.28 del 21 luglio 2025</w:t>
      </w:r>
    </w:p>
    <w:p>
      <w:pPr>
        <w:pStyle w:val="Heading2"/>
      </w:pPr>
      <w:r>
        <w:t>Volltext</w:t>
      </w:r>
    </w:p>
    <w:p>
      <w:r>
        <w:t>Raccomandata</w:t>
      </w:r>
    </w:p>
    <w:p>
      <w:r>
        <w:t>Incarto n.42.2025.28-29</w:t>
      </w:r>
    </w:p>
    <w:p>
      <w:r>
        <w:t>cs</w:t>
      </w:r>
    </w:p>
    <w:p>
      <w:r>
        <w:t>Lugano</w:t>
      </w:r>
    </w:p>
    <w:p>
      <w:r>
        <w:t>21 luglio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segretaria:</w:t>
      </w:r>
    </w:p>
    <w:p>
      <w:r>
        <w:t>Stefania Cagni</w:t>
      </w:r>
    </w:p>
    <w:p>
      <w:r>
        <w:t>statuendo sul ricorso del 29 maggio 2025 di</w:t>
      </w:r>
    </w:p>
    <w:p>
      <w:r>
        <w:t>RI 1</w:t>
      </w:r>
    </w:p>
    <w:p>
      <w:r>
        <w:t>contro</w:t>
      </w:r>
    </w:p>
    <w:p>
      <w:r>
        <w:t>le decisioni su opposizione del 30 aprile 2025 emanate da</w:t>
      </w:r>
    </w:p>
    <w:p>
      <w:r>
        <w:t>CO 1</w:t>
      </w:r>
    </w:p>
    <w:p>
      <w:r>
        <w:t>in materia di indennità perdita di guadagno (Corona)</w:t>
      </w:r>
    </w:p>
    <w:p>
      <w:r>
        <w:t>ritenutoin fatto</w:t>
      </w:r>
    </w:p>
    <w:p>
      <w:r>
        <w:t>consideratoin diritto</w:t>
      </w:r>
    </w:p>
    <w:p>
      <w:r>
        <w:t>in ordine</w:t>
      </w:r>
    </w:p>
    <w:p>
      <w:r>
        <w:t>Se non è stata emessa nessuna decisione, la contestazione non ha oggetto e non può dunque essere pronunciata una sentenza nel merito (cfr. STF C 22/06 del 5 gennaio 2007; DTF 131 V164 consid.2.1; DTF 125 V 414 consid. 1A; DTF 119 Ib 36 consid. 1b).</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w:t>
      </w:r>
    </w:p>
    <w:p>
      <w:r>
        <w:t>-  la restituzione lo metterebbe in gravi difficoltà economiche, nel senso che costituirebbe un onere troppo grave (DTF 122 V 140 consid. 3b).</w:t>
      </w:r>
    </w:p>
    <w:p>
      <w:r>
        <w:t>Quindi, se una sola di queste due condizioni non è adempiuta, il condono non può essere concesso.</w:t>
      </w:r>
    </w:p>
    <w:p>
      <w:r>
        <w:t>2.6.La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w:t>
      </w:r>
    </w:p>
    <w:p>
      <w:r>
        <w:t>Il Tribunale federale ha stabilito che la problematica relativa alla coscienza dell'irregolarità commessa è una questione di fatto, per contro quella concernente l'attenzione esigibile è di diritto (sentenza 8C_640/2023 del 19 aprile 2024, consid. 5.3, sentenza 9C_267/2021 del 1° febbraio 2022, consid. 5.1 e 5.2; sentenza 9C_413/2016 del 26 settembre 2016, consid. 3.1; DTF 122 V 221 consid. 3; cfr. anche sentenza C 292/02 del 15 marzo 2004 consid.2.3.; SVR 2003 IV Nr. 4 p. 10; SVR 200 EL Nr. 9 p. 21-22; Pratique VSI 1994 p. 126; DTF 122 V 221 = Pratique VSI 1996 p. 269).</w:t>
      </w:r>
    </w:p>
    <w:p>
      <w:r>
        <w:t>Secondo l'art. 3 cpv. 2 CC, che è applicabile per analogia:</w:t>
      </w:r>
    </w:p>
    <w:p>
      <w:r>
        <w:t>Compete al giudice inoltre, sulla base di un criterio oggettivo, cioè indipendentemente dalle conoscenze e dalle attitudini particolari della parte, determinare il grado dell'attenzione richiesta (DTF 79 II 59).</w:t>
      </w:r>
    </w:p>
    <w:p>
      <w:r>
        <w:t>La buona fede presuppone che l'assicurato ignori che una prestazione gli è versata indebitamente. Di detta ignoranza egli non si può prevalere se la stessa è stata determinata da sua negligenza.</w:t>
      </w:r>
    </w:p>
    <w:p>
      <w:r>
        <w:t>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8C_640/2023 del 19 aprile 2024;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w:t>
      </w:r>
    </w:p>
    <w:p>
      <w:r>
        <w:t>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w:t>
      </w:r>
    </w:p>
    <w:p>
      <w:r>
        <w:t>Lesclusione della buona fede non deve necessariamente ricadere in una violazione dellobbligo di informare o di notifica. Anche unomissione nel farsi parte attiva verso lamministrazione potrebbe entrare in considerazione(sentenza 9C_267/2021 del 1° febbraio 2022, consid. 5.1 e 5.2 con rinvio alla sentenza 9C_318/2021 del 21 settembre 2021, consid. 3.1). Nellambito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w:t>
      </w:r>
    </w:p>
    <w:p>
      <w:r>
        <w:t>Nella relazione del revisore sulla verifica a campione presso i beneficiari dellindennità perdita di guadagno Corona datata 19 agosto 2022, che in applicazione dellart. 15 cpv. 4 della Legge COVID-19 la direzione della Cassa aveva affidato alla __________, era emerso che la società ricorrente, malgrado nella richiesta di prestazioni avesse indicato, per il periodo in esame, un salario mensile pari a fr. 0 in favore dei suoi dipendenti, __________ e sua moglie __________, nei mesi da settembre 2020 a giugno 2021 aveva versato parte dello stipendio. Inoltre __________ nel 2019 non aveva conseguito un reddito di fr. 60'000 annui, come dichiarato, ma di fr. 38'910 ed era stato contabilizzato lutilizzo privato del veicolo aziendale in favore dell__________, il quale aveva diritto ad un salario mensile di fr. 5'000 per dodici mensilità in luogo delle tredici indicate.</w:t>
      </w:r>
    </w:p>
    <w:p>
      <w:r>
        <w:t>Il TCA, nella predetta sentenza, ha accertato quanto segue:</w:t>
      </w:r>
    </w:p>
    <w:p>
      <w:r>
        <w:t>2.9.  In concreto, alla luce degli accertamenti effettuati dalla Cassa e da questo Tribunale nellambito della procedura di restituzione delle indennità percepite in troppo, le decisioni su opposizione impugnate meritano conferma.</w:t>
      </w:r>
    </w:p>
    <w:p>
      <w:r>
        <w:t>Benché nei formulari di richiesta, prodotti dalla Cassa anche in questa sede sub plico doc. 12, la società ricorrente avesse indicato, in favore dei suoi dipendenti, __________ e sua moglie __________, un salario mensile pari a fr. 0 (cfr. plico doc. 12), nei mesi da settembre 2020 a giugno 2021, ha versato loro parte dello stipendio (cfr. STCA 42.2023.2-3 del 3 aprile 2023).</w:t>
      </w:r>
    </w:p>
    <w:p>
      <w:r>
        <w:t>È infatti emerso che la società ha contabilizzato su un conto di bilancio lammontare netto da versare sulla base di uno stipendio lordo mensile. La società ha poi versato ai propri dipendenti la differenza tra i salari lordi dovuti e le indennità giornaliere percepite. Le affermazioni della ricorrente secondo cui gli importi versati corrispondono a parte delle indennità giornaliere percepite e non a compensi, non hanno trovato conferma nella documentazione contabile agli atti. I revisori hanno infatti tenuto conto delle prestazioni versate (cfr. STCA 42.2023.2-3 del 3 aprile 2023, consid. 2.13). In questo senso la Cassa ha spiegato per quale motivo ha dovuto ricalcolare le prestazioni.</w:t>
      </w:r>
    </w:p>
    <w:p>
      <w:r>
        <w:t>Per quanto concerne l__________, dagli accertamenti effettuati era pure emerso che non era stata indicata la quota relativa al consumo proprio relativo allutilizzo del veicolo aziendale per un importo di fr. 7'955.55 IVA inclusa (fr. 576 da settembre a dicembre 2020 e fr. 453 da gennaio 2021 a giugno 2021; sul tema cfr. art. 13 OAVS e STF 9C_8/2016 del 1° settembre 2016) e che per lanno 2019 era stato indicato un reddito di fr. 5'000 per tredici mensilità anziché dodici (cfr. plico doc. 12 e STCA 42.2023.2-3 del 3 aprile 2023). Per __________ è invece stato accertato che il salario dichiarato di fr. 60'000 non corrispondeva alla realtà, poiché linteressata nel 2019 aveva conseguito un reddito annuo di fr. 38'910 (STCA 42.2023.2-3 del 3 aprile 2023).</w:t>
      </w:r>
    </w:p>
    <w:p>
      <w:r>
        <w:t>Come rammentato nella STCA 42.2023.2-3 del 3 aprile 2023, poiché scopo delle indennità giornaliere Corona è di compensare la perdita salariale in seguito alle misure adottate dalle autorità federali e cantonali per combattere la pandemia, le prestazioni devono essere calcolate in base alla concreta perdita salariale. Di conseguenza se la ricorrente ha versato una parte del salario ai propri dipendenti, questa va computata nella determinazione dellindennità dovuta. Inoltre se il salario indicato non è corretto, occorre procedere con un nuovo calcolo.</w:t>
      </w:r>
    </w:p>
    <w:p>
      <w:r>
        <w:t>In concreto, la ricorrente non ha compilato correttamente i moduli per la richiesta delle indennità per perdita di guadagno Corona, tralasciando dati rilevanti che hanno inciso sullammontare delle indennità versate.</w:t>
      </w:r>
    </w:p>
    <w:p>
      <w:r>
        <w:t>Da cui la necessità di ricalcolare le prestazioni effettivamente dovute ai due dipendenti dellinsorgente e la relativa richiesta di restituzione di fr. 21'866.30, rispettivamente di fr. 12'244.35.</w:t>
      </w:r>
    </w:p>
    <w:p>
      <w:r>
        <w:t>Tali, errate, indicazioni nei moduli con i quali la società ricorrente ha chiesto alla Cassa le indennità giornaliere Corona, hanno avuto uninfluenza sul calcolo delle prestazioni e configurano una manifesta violazione dellobbligo di collaborare e di fornire indicazioni veritiere, prevista anche dallart. 28 LPGA.</w:t>
      </w:r>
    </w:p>
    <w:p>
      <w:r>
        <w:t>Il motivo per il quale la Cassa ha proceduto al versamento di indennità non dovute sono da ricondurre alla condotta della società che ha omesso di dichiarare il reddito da attività lucrativa soggetto ad AVS versato ai propri dipendenti, non ha indicato correttamente il salario percepito dall__________ e da sua moglie ed ha sottaciuto lutilizzo privato del veicolo aziendale, regolarmente iscritto in contabilità.</w:t>
      </w:r>
    </w:p>
    <w:p>
      <w:r>
        <w:t>Con il suo agire la società ha commesso una grave negligenza.</w:t>
      </w:r>
    </w:p>
    <w:p>
      <w:r>
        <w:t>La compilazione inesatta dei formulari di richiesta delle prestazioni e la violazione dellobbligo di informazione non possono infatti essere ritenute come una negligenza lieve.</w:t>
      </w:r>
    </w:p>
    <w:p>
      <w:r>
        <w:t>Lulteriore documentazione prodotta con la replica non modifica lesito del ricorso (doc. B1-B4). Non è infatti sufficiente indicare di rimanere a completa disposizione per eventuali informazioni per sanare lerrata indicazione dei dati salariali (cfr. doc. B1-B3). Daltra parte eventuali domande poste al proprio fiduciario dalla medesima società (doc. B4), concernono unicamente i rapporti interni tra le parti e non incidono sulla buona fede nei confronti dellamministrazione.</w:t>
      </w:r>
    </w:p>
    <w:p>
      <w:r>
        <w:t>Contrariamente a quanto sembra ritenere linsorgente, anche se la Cassa, per pura ipotesi di lavoro, fosse stata al corrente di tutte le informazioni contabili della società, cosa peraltro neppure comprovata, linsorgente non sarebbe comunque stataesonerata dall'obbligo di verifica che le incombe, come ribadito dal Tribunale federale nella STF 8C_264 /2024 del 14 novembre 2024, consid. 4.2.</w:t>
      </w:r>
    </w:p>
    <w:p>
      <w:r>
        <w:t>2.10.  Con la replica del 4 luglio 2025 la ricorrente ha chiesto di sentire __________, fiduciario della società (cfr. consid. 1.9 e doc. V).</w:t>
      </w:r>
    </w:p>
    <w:p>
      <w:r>
        <w:t>Questo Tribunale rinuncia alla sua audizione. Come esposto in precedenza linsorgente non può far valere la sua buona fede già solo per il motivo di non aver indicato in maniera corretta, nei moduli di richiesta delle prestazioni, i salari percepiti dai propri dipendenti, compreso lutilizzo privato del veicolo aziendale dell__________. Lassicurata avrebbe inoltre dovuto verificare la correttezza dei conteggi.</w:t>
      </w:r>
    </w:p>
    <w:p>
      <w:r>
        <w:t>In queste condizioni, le richieste telefoniche alla Cassa in ordine alla correttezza preventiva della predisposizione dei formulari, con lindicazione continua di tutte le circostanze ed elementi in ordine ai requisiti per le singole richieste delle indennità, sui cui dovrebbe riferire il fiduciario, non modificano lesito della procedura. Spetta infatti alla società assicurata indicare senza errori i salari percepiti dai propri dipendenti (cfr. consid. 2.6, 2.7 e 2.9).</w:t>
      </w:r>
    </w:p>
    <w:p>
      <w:r>
        <w:t>2.11.  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la questione di sapere se si tratti, o meno, di una controversia relativa a prestazioni secondo l'art. 61 lett. fbisLPGA non necessita di ulteriori approfondimenti ritenuto, d'un lato, che nel caso in cui la lite vertesse su prestazioni non verrebbero in ogni caso accollate spese, in quanto trattandosidi prestazioni IPG Corona non è stato previsto di prelevare le spese (cfr. art. 1 Ordinanza COVID-19 perdita di guadagno del 17 marzo 2020 [RU 2020 871; RS 830.31];Kieser, Covid-19  Erlasse und Sozialversicherungsrecht in COVID-19.Ein Panorama der Rechtsfragen zur Corona-Krise, Helbing Lichtenhahn Verlag, Basilea 2020 pag. 741 n. 30).</w:t>
      </w:r>
    </w:p>
    <w:p>
      <w:r>
        <w:t>D'altro lato, anche qualora la causa non riguardasse delle prestazioni non verrebbero comunque imposte spese.</w:t>
      </w:r>
    </w:p>
    <w:p>
      <w:r>
        <w:t>In effetti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Per questi motivi</w:t>
      </w:r>
    </w:p>
    <w:p>
      <w:r>
        <w:t>dichiara e pronuncia</w:t>
      </w:r>
    </w:p>
    <w:p>
      <w:r>
        <w:t>Per il Tribunale cantonale delle assicurazioni</w:t>
      </w:r>
    </w:p>
    <w:p>
      <w:r>
        <w:t>Il presidente                                                 La segretaria</w:t>
      </w:r>
    </w:p>
    <w:p>
      <w:r>
        <w:t>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