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42.2025.27 vom 28. Juli 2025</w:t>
      </w:r>
    </w:p>
    <w:p>
      <w:r>
        <w:t>TI Tribunale d'appello, 2025-07-28, IT</w:t>
      </w:r>
    </w:p>
    <w:p>
      <w:r>
        <w:rPr>
          <w:b/>
        </w:rPr>
        <w:t xml:space="preserve">Quelle: </w:t>
      </w:r>
      <w:r>
        <w:t>https://mcp.opencaselaw.ch/entscheid/ti_gerichte_42.2025.27</w:t>
      </w:r>
    </w:p>
    <w:p>
      <w:r>
        <w:t>FR: TI_GERICHTE 42.2025.27 du 28 juillet 2025</w:t>
      </w:r>
    </w:p>
    <w:p>
      <w:r>
        <w:t>IT: TI_GERICHTE 42.2025.27 del 28 luglio 2025</w:t>
      </w:r>
    </w:p>
    <w:p>
      <w:pPr>
        <w:pStyle w:val="Heading2"/>
      </w:pPr>
      <w:r>
        <w:t>Erwägungen</w:t>
      </w:r>
    </w:p>
    <w:p>
      <w:r>
        <w:rPr>
          <w:b/>
        </w:rPr>
        <w:t>E. 14</w:t>
      </w:r>
    </w:p>
    <w:p>
      <w:r>
        <w:t>aprile 2022) e lemanazione del giudizio cantonale, non andava considerato a tal punto eccessivo da costituire una violazione del principio di celerità. Visto che la censura di ritardo inammissibile si rivelava infondata, allassicurato, patrocinato da un avvocato, è stato negato il diritto a ripetibili.</w:t>
      </w:r>
    </w:p>
    <w:p>
      <w:r>
        <w:t>2.6.In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rPr>
          <w:b/>
        </w:rPr>
        <w:t>E. 19</w:t>
      </w:r>
    </w:p>
    <w:p>
      <w:r>
        <w:t>dicembre 2006 e il giudizio emanato il 18 luglio 2008 per una vertenza relativamente complessa sul piano giuridico in ambito di aiuto d'emergenza che ha implicato l’esame di diversi diritti fondamentali era al limite dell’ammissibile, ma non eccessivo al punto di costituire una violazione degli art. 29 cpv. 1 Cost. e 6 par. 1 CEDU. Inoltre in un giudizio 9C_216/2024 del 30 aprile 2025, concernente un assicurato sottoposto a una perizia pluridisciplinare da parte dell’Ufficio AI al quale era stato negato il diritto a prestazioni dell’assicurazione invalidità, la nostra Massima Istanza ha stabilito al consid. 2 che la durata complessiva di un anno e mezzo del procedimento (dall’inoltro del ricorso del 4 ottobre 2022 all’emanazione della sentenza del 3 aprile 2024) dinanzi a un Tribunale cantonale, il quale, ad eccezione della richiesta dell’anticipo delle spese e dell’udienza pubblica del</w:t>
      </w:r>
    </w:p>
    <w:p>
      <w:r>
        <w:rPr>
          <w:b/>
        </w:rPr>
        <w:t>E. 21</w:t>
      </w:r>
    </w:p>
    <w:p>
      <w:r>
        <w:t>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42.2025.16 del 28 aprile 2025 consid. 2.8.; STCA 42.2024.44 del 20 gennaio 2025 consid. 2.7.; STCA 42.2024.43 del 13 gennaio 2025 consid. 2.6.; STCA 42.2024.22 del 14 ottobre 2024 consid. 2.6.; STCA 42.2024.10 del 27 maggio 2024 consid. 2.6.;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 Va, ad ogni modo, evidenziata, considerate altresì le precedenti procedure davanti al TCA (in particolare le cause 42.2024.22; 42.2024.43 e 42.2025.18 concernenti anch’esse ricorsi per denegata giustizia) una superficialità nell’adire il Tribunale da parte di RI 1, con riferimento alla tempistica delle impugnative rispetto alla data delle sue domande all’amministrazione, rispettivamente dell’inoltro del reclamo (inc. 42.2024.22: richiesta del 1° luglio 2024 di prestazioni assistenziali per il mese di luglio 2024 e ricorso del 10 luglio 2024 al TCA per denegata giustizia in relazione alla mancata emissione di una decisione concernente il mese di luglio 2024; inc. 42.2024.43: richiesta del 4 novembre 2024 di prestazioni assistenziali per il mese di novembre 2024 e ricorso del 14 novembre 2024 al TCA per denegata giustizia in relazione alla mancata emissione di una decisione concernente il mese di novembre 2024; inc. 42.2025.18: STCA 42.2025.10 del 7 aprile 2025 di irricevibilità del “ricorso” del 20 febbraio 2025 contro la decisione del 14 febbraio 2025 di riconoscimento dei contributi AVS solo per il periodo ottobre - dicembre 2024, con trasmissione degli atti all’USSI per emettere la relativa decisione su reclamo e ricorso per denegata giustizia del 14 aprile 2025 nei confronti dell’amministrazione per non avere emanato una decisione su reclamo). Tali considerazioni valgono a maggior ragione per quanto attiene alla presente vertenza, ritenuto che l’insorgente, il 21 maggio 2025, ha interposto reclamo contro i provvedimenti del 16 maggio 2025 e nella medesima data ha ricorso al TCA per denegata giustizia (cfr. consid. 1.3.; 1.4.). Benché il ricorrente sia già stato reso attento in questo senso con sentenza 42.2025.18 dell’11 giugno 2025 consid. 2.8., va osservato che tale giudizio è successivo all’inoltro del ricorso del 21 maggio 2025. Pertanto, anche nel caso di specie, questo Tribunale si limita ad avvisare RI 1, pro futuro, di osservare una migliore diligenza processuale. In caso contrario sarà valutata l’imposizione di una tassa di giustizia e delle spese di procedura (cfr. art. 29 cpv. 3 Lptca; STF 8C_614/2024, 8C_615/2024 del 24 giugno 2025,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