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 vom 2. Juni 2025</w:t>
      </w:r>
    </w:p>
    <w:p>
      <w:r>
        <w:t>TI Tribunale d'appello, 2025-06-02, IT</w:t>
      </w:r>
    </w:p>
    <w:p>
      <w:r>
        <w:rPr>
          <w:b/>
        </w:rPr>
        <w:t xml:space="preserve">Quelle: </w:t>
      </w:r>
      <w:r>
        <w:t>https://mcp.opencaselaw.ch/entscheid/ti_gerichte_42.2025.2</w:t>
      </w:r>
    </w:p>
    <w:p>
      <w:r>
        <w:t>FR: TI_GERICHTE 42.2025.2 du 2 juin 2025</w:t>
      </w:r>
    </w:p>
    <w:p>
      <w:r>
        <w:t>IT: TI_GERICHTE 42.2025.2 del 2 giugno 2025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2.4.  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w:t>
      </w:r>
    </w:p>
    <w:p>
      <w:r>
        <w:t>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giudizio 8C_56/2012 dell11 dicembre 2012 consid. 3.1. il Tribunale federale ha, poi,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w:t>
      </w:r>
    </w:p>
    <w:p>
      <w:r>
        <w:t>Con giudizio 8C_138/2016 del 6 settembre 2016 consid. 5.2.1., pubblicato in DTF 142 V 513, il Tribunale federale hadel resto evidenziato che il principio di sussidiarietà è lespressione della responsabilità individuale, secondo cui, prima di far capo allassistenza sociale, vanno esaurite tutte le altre possibilità di reddito eribadito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w:t>
      </w:r>
    </w:p>
    <w:p>
      <w:r>
        <w:t>In una sentenza 8C_344/2019 del 15 novembre 2019 consid. 6.4. lAlta Corte ha peraltro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Al riguardo cfr. pure STF 8C_717/2022 del 7 giugno 2023 consid. 10.1.2, pubblicata in DTF 150 I 6, STF 2C_60/2022 del 27 dicembre 2022 consid. 4.5., pubblicata in DTF 149 II 1; DTF 146 I 1e lelinee guidaCSIASp.to A.3. concernente la sussidiarietà e le relative spiegazioni.</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dettesono commisurate agli scopi di questa legge, alle condizioni personali e alle situazioni locali (art. 17 cpv. 1 Las).</w:t>
      </w:r>
    </w:p>
    <w:p>
      <w:r>
        <w:t>Essesi suddividono in due categorie: ordinarie e speciali (art. 17 cpv. 2 Las).</w:t>
      </w:r>
    </w:p>
    <w:p>
      <w:r>
        <w:t>Questa distinzione si basa su criteri qualitativi inerenti alle prestazioni, in relazione al tipo di bisogno cui sono destinate(cfr. Messaggio n. 5250 del Consiglio di Stato relativo alla modifica della Legge sull'assistenza dell8 maggio 2002, pag. 3).</w:t>
      </w:r>
    </w:p>
    <w:p>
      <w:r>
        <w:t>Inoltre le prestazioni assistenziali possono essere ricorrenti o puntuali (art. 17 cpv.</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 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dellunità di riferimento e dichiarate dal richiedente;</w:t>
      </w:r>
    </w:p>
    <w:p>
      <w:r>
        <w:t>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5.   non viene computata per ogni membro dellunità di riferimento una quota pari al 20% del reddito da lavoro (franchigia) fino ad un massimo di 500 franchi al mese; per gli apprendisti la quota del reddito da lavoro non computata ammonta a 500 franchi al mese.</w:t>
      </w:r>
    </w:p>
    <w:p>
      <w:r>
        <w:t>b)   Spesa vincolata:</w:t>
      </w:r>
    </w:p>
    <w:p>
      <w:r>
        <w:t>1.   non vengono computati rendite e oneri permanenti (art. 8 cpv. 1 lett. c) Laps);</w:t>
      </w:r>
    </w:p>
    <w:p>
      <w:r>
        <w:t>2.   non vengono computati gli alimenti di cui allart. 8 cpv. 1 lett. d) Laps;</w:t>
      </w:r>
    </w:p>
    <w:p>
      <w:r>
        <w:t>3.   non vengono computate le imposte di cui allart. 8 cpv. 1 lett. j) Laps;</w:t>
      </w:r>
    </w:p>
    <w:p>
      <w:r>
        <w:t>4.   le spese e gli interessi passivi sui debiti privati vengono riconosciuti solo fino allimporto complessivo dei redditi della sostanza contemplati dagli art. 19 e 20 della LT (deroga allart. 8, cpv. 2, lett. a) Laps).</w:t>
      </w:r>
    </w:p>
    <w:p>
      <w:r>
        <w:t>c)   Spesa per lalloggio:</w:t>
      </w:r>
    </w:p>
    <w:p>
      <w:r>
        <w:t>Per il calcolo della spesa per lalloggio viene considerato laffitto maggiorato delle spese accessorie effettive fino al massimale previsto dallart. 9 Laps. (ndr. sottolineatura della redattrice).</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cpv. 1 lett. a Laps, a cui rinvia lart. 22 Las, prevede, infatti, che il reddito computabile è costituito dai redditi ai sensi degli art. 15-22 della Legge tributaria (LT).</w:t>
      </w:r>
    </w:p>
    <w:p>
      <w:r>
        <w:t>La spesa computabile, è costituita dalla somma delle spese vincolate e dalla spesa per lalloggio (art. 7 Laps).</w:t>
      </w:r>
    </w:p>
    <w:p>
      <w:r>
        <w:t>Giusta l'art. 9 Laps:</w:t>
      </w:r>
    </w:p>
    <w:p>
      <w:r>
        <w:t>Limporto riconosciuto dalla legislazione sulle prestazioni complementari all'AVS/AI era pari, sino al 31 dicembre 2020, a fr. 13'200.-- annui, ossia fr. 1'100.-- mensili per la persona sola e a fr. 15'000.-- allanno, e meglio fr. 1'250.-- al mese per due persone (cfr. art. 10 cpv. 1 lett. b vLPC; art. 2 della Legge di applicazione della legge federale concernente le prestazioni complementari allassicurazione federale per la vecchiaia, i superstiti e linvalidità  LaLPC).</w:t>
      </w:r>
    </w:p>
    <w:p>
      <w:r>
        <w:t>Con effetto dal 1° gennaio 2021, gli importi massimi contemplati dalla LPC, alla quale lart. 9 Laps fa riferimento, sono aumentati. In effetti la modifica della LPC, approvata dal Parlamento il 22 marzo 2019 ed entrata in vigore a decorrere dal 1° gennaio 2021, ha previsto un adeguamento degli importi massimi riconosciuti per la pigione, e meglio, per una persona sola, da fr. 13'200.-- annui a fr. 16'440.-- nella regione 1, rispettivamente a fr. 15'900.-- nella regione 2 e fr. 14'520.-- nella regione 3 (art. 10 cpv. 1 lett. b LPC).</w:t>
      </w:r>
    </w:p>
    <w:p>
      <w:r>
        <w:t>2.7.  Lart. 67 Las, relativo allobbligo di informazione in generale, prevede che:</w:t>
      </w:r>
    </w:p>
    <w:p>
      <w:r>
        <w:t>Giusta lart. 68 Las, afferente allobbligo di informazione in particolare:</w:t>
      </w:r>
    </w:p>
    <w:p>
      <w:r>
        <w:t>2.8.  Per quanto concerne le prestazioni ottenute indebitamente, lart. 36 Las sancisce:</w:t>
      </w:r>
    </w:p>
    <w:p>
      <w:r>
        <w:t>"Le prestazioni indebitamente percepite vanno restituite alle condizioni di cui allart. 26 Laps.</w:t>
      </w:r>
    </w:p>
    <w:p>
      <w:r>
        <w:t>Ai sensi dellart. 26 cpv. 1-3 Laps, riguardante l'obbligo di restituzione e il condono:</w:t>
      </w:r>
    </w:p>
    <w:p>
      <w:r>
        <w:t>"La prestazione sociale indebitamente percepita deve essere restituita. (cpv. 1)</w:t>
      </w:r>
    </w:p>
    <w:p>
      <w:r>
        <w:t>Il diritto di esigere la restituzioneè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LPGA;STF 8C_366 del 19 ottobre 2022 consid. 5.2.; STF 8C_562/2020 del 14 aprile 2021 consid. 3;STF 8C_294/2018 del 28 giugno 2018 consid. 3.1.;STF 8C_549/2015 del 28 ottobre 2015 consid. 4;STFA C 25/00 del 20 ottobre 2000; DTF 122 V 21; RCC 1989 pag. 547; RCC 1985 pag. 63;Rumo-Jungo, Rechtsprechung des Bundesgerichts zum Sozialversicherungsrecht, Zurigo 1994, ad art. 3 pag. 68).</w:t>
      </w:r>
    </w:p>
    <w:p>
      <w:r>
        <w:t>Giova ricordare che è tenuto alla restituzione ogni assicurato che ha beneficiato di una prestazione, alla quale, da un profilo oggettivo, non aveva diritto. Un assicurato deve restituire la prestazione che gli è stata erogata in contrasto con la legge.</w:t>
      </w:r>
    </w:p>
    <w:p>
      <w:r>
        <w:t>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consid.5.3.; DTF 147 V 417 consid. 7.3.2.; STF 8C_689/2016 del 5 luglio 2017 consid. 3.1.;Widmer, DieRückerstattung unrechtmässig bezogener Leistungen in den Sozialversicherungen, Tesi, Basilea 1984, pag. 125 a 127; FF 1946 II pag. 527-528, edizione francese).</w:t>
      </w:r>
    </w:p>
    <w:p>
      <w:r>
        <w:t>2.9.  In una sentenza 8C_797/2023 del 21 marzo 2024, lAlta Corte ha ritenuto irricevibile il ricorso presentato da un assicurato contro la decisione del Tribunal Cantonal del Canton Vaud che aveva confermato la richiesta di remboursement delle prestazioni assistenziali pronunciata dallamministrazione.</w:t>
      </w:r>
    </w:p>
    <w:p>
      <w:r>
        <w:t>In quel caso, nellambito di una revisione del diritto alle prestazioni assistenziali, era emerso che quellassistito era titolare di un conto risparmio, non previamente annunciato allamministrazione, sul quale erano stati effettuati diversi accrediti, per un totale di fr. 15'262.30. Nel mentre, dal conto bancario in questione erano anche stati fatti numerosi prelievi per delle somme che variavano da fr. 100.- a fr. 2'000.-.Lamministrazione, venuta a conoscenza di quanto precede, aveva chiesto al ricorrente  rilevato che ai sensi dellart. 41 LASV, in vigore nel Canton Vaud, sullobbligo di rimborso prevede che 1 La personne qui, dès la majorité, a obtenu des prestations du RI, y compris les frais particuliers ou aides exceptionnelles, est tenue au remboursement : a. lorsqu'elle les a obtenues indûment ; le bénéficiaire de bonne foi n'est tenu à restitution, totale ou partielle, que dans la mesure où il n'est pas mis de ce fait dans une situation difficile ; b. lorsqu'elle a obtenu une aide lui permettant de subvenir à ses besoins dans l'attente de la réalisation de ses biens ; c. lorsqu'elle entre en possession d'une fortune mobilière ou immobilière ; d. dans le cas mentionné à l'article 46, alinéa premier ; e. dans le cas prévu à l'article 46a il remboursement di fr 14'000.-.</w:t>
      </w:r>
    </w:p>
    <w:p>
      <w:r>
        <w:t>Quellassistito aveva impugnato la decisione resa nei suoi confronti, facendo valere che le somme presenti su quel conto di risparmio non erano di sua pertinenza, bensì riconducibili ad un coinquilino che aveva vinto alla lotteria e che gli aveva affidato la vincita onde evitare di spenderla. Ritenendo le spiegazioni fornite dal ricorrente poco credibili, la Corte cantonale ha, in particolare, rilevato che il biglietto della lotteria risaliva ad un momento nel quale egli aveva già percepito la quasi integralità della somma sul proprio conto risparmio. Rispettivamente, è stato evidenziato che quel ricorrente aveva, di fatto, la possibilità di disporre di quella somma, come ha del resto fatto procedendo ai diversi prelievi. Gli attivi presenti su quella relazioni bancaria, quindi, al netto della quota esente, dovevano essere oggetto di remboursement allamministrazione. In quel caso, la Corte cantonale ha, infine, rinunciato ad unareformatio in pejusquanto allimporto oggetto del remboursement.</w:t>
      </w:r>
    </w:p>
    <w:p>
      <w:r>
        <w:t>In una sentenza 8C_176/2024 dell8 aprile 2024, il Tribunale federale ha dichiarato irricevibile il ricorso presentato da un beneficiario di prestazioni assistenziali nei confronti del quale il Tribunale cantonale del Canton Giura - ove lart. 36 cpv. 1 della LASoc prevede, per il rimborso delle prestazioni assistenziali percepite, che L'aide matérielle fournie aux personnes majeures est remboursable dans les situations suivantes : a) lorsque l'aide a été accordée à titre d'avance sur des prestations, au moment où ces dernières leur sont versées; lautorité daide sociale peut demander le versement direct entre ses mains des prestations concernées; b) lorsque l'aide a été obtenue indûment, à la suite d'indications fausses ou incomplètes; c) lorsque le bénéficiaire est en mesure de s'acquitter de tout ou partie de sa dette par suite d'un héritage, d'un don, d'un gain de loterie ou de revenus extraordinaires ne provenant pas de son travail; d) lorsque le bénéficiaire acquiert par son travail d'autres revenus lui permettant d'avoir un train de vie aisé - aveva stabilito che a ragione lamministrazione aveva chiesto un remboursement delle prestazioni percepite dal medesimo, riquantificandone, però, lammontare in fr. 6'195.- in luogo dei fr. 6'500.- richiesti dallamministrazione.</w:t>
      </w:r>
    </w:p>
    <w:p>
      <w:r>
        <w:t>In quel caso, il beneficiario di prestazioni assistenziali non aveva annunciato di avere ritirato il capitale del secondo pilastro per un totale di fr. 6'500.-, mediante il quale aveva preteso di avere saldato delle fatture. Inizialmente, lamministrazione aveva chiesto il remboursement dellintera cifra.</w:t>
      </w:r>
    </w:p>
    <w:p>
      <w:r>
        <w:t>Rammentato che secondo le Disposizioni CSIAS (punto D.3.3. n. 5) gli averi previdenziali devono essere computati quali sostanza nel calcolo volto a stabilire il diritto, o meno, alle prestazioni assistenziali, con giudizio ADM 121/2023 del</w:t>
      </w:r>
    </w:p>
    <w:p>
      <w:r>
        <w:rPr>
          <w:b/>
        </w:rPr>
        <w:t>E. 5</w:t>
      </w:r>
    </w:p>
    <w:p>
      <w:r>
        <w:t>febbraio 2024, il Tribunale cantonale ha innanzitutto ritenuto corretta nel principio la richiesta di restituzione formulata dallamministrazione. Ne ha, però, rivisto lammontare in ragione di quelle spese effettivamente sostenute da quale ricorrente (e quindi comprovate) che sarebbero, in ogni caso, state prese a carico dalla pubblica assistenza (segnatamente in relazione ai premi per la cassa malati).</w:t>
      </w:r>
    </w:p>
    <w:p>
      <w:r>
        <w:t>In effetti nella decisione iniziale di assegnazione delle prestazioni assistenziali ordinarie a novembre 2023, tale sostanza non era stata computata dallUSSI (cfr. supra consid. 2.9.).</w:t>
      </w:r>
    </w:p>
    <w:p>
      <w:r>
        <w:t>A favore di RI 1 sono, dunque, state bonificate delle somme più elevate rispetto a quanto ella avrebbe effettivamente avuto diritto di percepire.</w:t>
      </w:r>
    </w:p>
    <w:p>
      <w:r>
        <w:t>In concreto, RI 1avrebbe dovuto impiegare il capitale ritirato non, come ha indicato, per coprire prestiti (peraltro non comprovati), ma per fare fronte alle proprie spese primarie. Quanto precede considerato che, lo si rammenta, laiuto sociale è sussidiario in rapporto, segnatamente, alle prestazioni volontarie da parte di terzi (cfr. supra consid. 2.4.).</w:t>
      </w:r>
    </w:p>
    <w:p>
      <w:r>
        <w:t>Nella fattispecie, secondo questo Tribunale sono, dunque, adempiuti i presupposti della revisione processuale (cfr. supra consid. 2.8.) ritenuto che rispetto a quando lUSSI ha conteggiato le prestazioni spettanti al ricorrente per novembre 2023, sono emersi dei fatti nuovi, atti ad indurre a una conclusione giuridica diversa rispetto ai calcoli iniziali delle prestazioni assistenziali.</w:t>
      </w:r>
    </w:p>
    <w:p>
      <w:r>
        <w:t>È quindi evidente che il calcolo delle prestazioni assistenziali andava rivisto in base alle effettive entrate e sostanza della ricorrente che quindi, da un profilooggettivo, ha effettivamente percepito indebitamente delle prestazioni assistenziali a novembre 2023.</w:t>
      </w:r>
    </w:p>
    <w:p>
      <w:r>
        <w:t>Al riguardo è utile ribadire (cfr. supra consid. 2.8.)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w:t>
      </w:r>
    </w:p>
    <w:p>
      <w:r>
        <w:t>2.12.  Sullammontare dellimporto chiesto in restituzione dallUSSI, pari a fr.3'377.95, questa Corte rammenta innanzitutto che la ricorrente non ha sollevato alcuna censura.</w:t>
      </w:r>
    </w:p>
    <w:p>
      <w:r>
        <w:t>In concreto, sul conto PostFinance a quel tempo non dichiarato dalla ricorrente allUSSI e che il 31 ottobre 2023 presentava un saldo di fr 13.20, in data 6 novembre 2023 è, come visto, confluito limporto di fr. 15'871.15 (cfr. supra consid. 2.10.).</w:t>
      </w:r>
    </w:p>
    <w:p>
      <w:r>
        <w:t>Di questi, fr. 6'000.- sono stati prelevati a contanti in tranches di fr 1'000.- cadauna tra l8 ed il 23 novembre, mentre altri fr. 500.- sono stati oggetto di un versamento (addebito) in data 27 novembre 2023, di modo che il saldo di quel conto al 30 novembre 2023 ammontava a fr. 9'379.35.</w:t>
      </w:r>
    </w:p>
    <w:p>
      <w:r>
        <w:t>Sulla qualifica - dal punto di vista del suo computo nel calcolo volto a determinare il diritto, o meno, alle prestazioni Las - dellimporto di fr. 15'871.15, questa Corte rileva chelart. 6 cpv. 1 lett. a Laps, a cui rinvia lart. 22 Las, prevede che il reddito computabile è costituito dai redditi ai sensi degli art.15-22della Legge tributaria (LT) ad esclusione dei redditi imposti separatamente in virtù degli art. 36 cpv. 1 e 38 cpv. 1 della LT.</w:t>
      </w:r>
    </w:p>
    <w:p>
      <w:r>
        <w:t>Tra i redditi imposti separatamente, in virtù dellart. 38 LT e quindi esclusi dai redditi computabili ai sensi della Laps vi sono proprio le prestazioni in capitale della previdenza.</w:t>
      </w:r>
    </w:p>
    <w:p>
      <w:r>
        <w:t>Ne consegue che gli averi previdenziali ritirati dalla ricorrente non potevano essere considerati quali reddito, nemmeno nel solo mese in cui sono confluiti sul conto bancario del quale lUSSI era alloscuro.</w:t>
      </w:r>
    </w:p>
    <w:p>
      <w:r>
        <w:t>Quanto precede è peraltro conforme a quanto disposto dalle linee guida della Conferenza svizzera delle istituzioni dellazione sociale (CSIAS), nella versione in vigore dal 1° gennaio 2025, al punto D.3.3. n. 5, concernente la previdenza per la vecchiaia del 2° pilastro e del pilastro 3a (Gli averi svincolati della previdenza per la vecchiaia fanno parte della sostanza computabile e devono essere utilizzati per il mantenimento corrente e futuro).</w:t>
      </w:r>
    </w:p>
    <w:p>
      <w:r>
        <w:t>In concreto, tuttavia, per questa specifica fattispecie, alla luce di un importo tutto sommato contenuto, a fronte del fatto che quanto percepito (nella misura in cui eccede la quota esente) è poi stato consumato entro breve nella misura di quanto indicato dalla ricorrente, loperato dellUSSI, che per il mese di novembre 2023 ha stabilito che RI 1, avendo prelevato lavere previdenziale in questione, non avrebbe avuto diritto a ricevere le prestazioni Las riconosciutele, tanto con riferimento a quelle ordinarie che a quelle straordinarie chiedendone quindi la restituzione, non è censurabile.</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