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42.2025.19 vom 14. Februar 2025</w:t>
      </w:r>
    </w:p>
    <w:p>
      <w:r>
        <w:t>TI Tribunale d'appello, 2025-02-14, IT</w:t>
      </w:r>
    </w:p>
    <w:p>
      <w:r>
        <w:rPr>
          <w:b/>
        </w:rPr>
        <w:t xml:space="preserve">Quelle: </w:t>
      </w:r>
      <w:r>
        <w:t>https://mcp.opencaselaw.ch/entscheid/ti_gerichte_42.2025.19</w:t>
      </w:r>
    </w:p>
    <w:p>
      <w:r>
        <w:t>FR: TI_GERICHTE 42.2025.19 du 14 février 2025</w:t>
      </w:r>
    </w:p>
    <w:p>
      <w:r>
        <w:t>IT: TI_GERICHTE 42.2025.19 del 14 febbraio 2025</w:t>
      </w:r>
    </w:p>
    <w:p>
      <w:pPr>
        <w:pStyle w:val="Heading2"/>
      </w:pPr>
      <w:r>
        <w:t>Erwägungen</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2.6.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2.11</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w:t>
      </w:r>
    </w:p>
    <w:p>
      <w:r>
        <w:rPr>
          <w:b/>
        </w:rPr>
        <w:t>E. 3</w:t>
      </w:r>
    </w:p>
    <w:p>
      <w:r>
        <w:t>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L'art. 20 Las definisce, invece, le prestazioni speciali:</w:t>
      </w:r>
    </w:p>
    <w:p>
      <w:r>
        <w:t>"Le prestazioni speciali sono destinate a coprire dei bisogni particolari, quali ad esempio:</w:t>
      </w:r>
    </w:p>
    <w:p>
      <w:r>
        <w:t>a) spese di formazione;</w:t>
      </w:r>
    </w:p>
    <w:p>
      <w:r>
        <w:t>b) franchigie, partecipazioni, spese dentarie e spese straordinarie dovute a malattia o handicap;</w:t>
      </w:r>
    </w:p>
    <w:p>
      <w:r>
        <w:t>c) determinate assicurazioni;</w:t>
      </w:r>
    </w:p>
    <w:p>
      <w:r>
        <w:t>d) misure che favoriscono lintegrazione sociale e linserimento professionale;</w:t>
      </w:r>
    </w:p>
    <w:p>
      <w:r>
        <w:t>e) spese di collocamento diurno di figli minorenni;</w:t>
      </w:r>
    </w:p>
    <w:p>
      <w:r>
        <w:t>f)  spese di collocamento in istituto;</w:t>
      </w:r>
    </w:p>
    <w:p>
      <w:r>
        <w:t>g) spese di sepoltura. (cpv. 1)</w:t>
      </w:r>
    </w:p>
    <w:p>
      <w:r>
        <w:t>Possono inoltre essere concesse prestazioni speciali per fare fronte per un periodo limitato a spese vincolate o per lalloggio superiori ai limiti previsti dallart. 22. (cpv. 2)</w:t>
      </w:r>
    </w:p>
    <w:p>
      <w:r>
        <w:t>Le prestazioni speciali possono essere cumulate alle prestazioni ordinarie, o essere indipendenti quando le risorse del beneficiario raggiungono o superano la soglia dintervento ma non coprono il bisogno specifico cui esse sono destinate. (cpv. 3).</w:t>
      </w:r>
    </w:p>
    <w:p>
      <w:r>
        <w:t>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w:t>
      </w:r>
    </w:p>
    <w:p>
      <w:r>
        <w:t>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5; STCA 42.2004.3 del 17 maggio 2005, pubblicata in RtiD II-2005 N. 14 pag. 59 segg.).</w:t>
      </w:r>
    </w:p>
    <w:p>
      <w:r>
        <w:t>Lart. 20 cpv. 1 Las prevede un elenco di prestazioni. Questo elenco non è, tuttavia, esaustivo.</w:t>
      </w:r>
    </w:p>
    <w:p>
      <w:r>
        <w:t>In effetti la lista di prestazioni menzionata è preceduta daad esempio,il che significa che la stessa non è completa, bensì soltanto esemplificativa.</w:t>
      </w:r>
    </w:p>
    <w:p>
      <w:r>
        <w:t>Sulla portata delle direttive amministrative, cfr.STF 9C_79/2024 del 6 febbraio 2025 consid. 4.3., destinata alla pubblicazione nella Raccolta ufficiale;STF 9C_230/2024 del 21 gennaio 2025 consid. 4.1.;STF 8C_425/2023 del 21 maggio 2024 consid. 4.3.; STF 8C_228/2023 del 6 ottobre 2023 consid. 3.2.;STF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Il termine di tre mesi entro il quale far valere le proprie domande di prestazioni speciali non è censurabile, ritenuto che lassistenza sociale non ha come scopo quello di estinguere i debiti, bensì di permettere al beneficiario di prestazioni assistenziali di far fronte a necessità contingenti (cfr. STF 8C_42/2023 del 22 dicembre 2023 consid. 4.5.; STF 8C_21/2022 del 14 novembre 2022 consid. 4.3.; STF 8C_866/2014 del 14 aprile 2015; STF 8C_75/2014 del 16 luglio 2014; STF 8C_521/2010 del 27 settembre 2010 consid. 7.1, pubblicata in DTF 136 V 351; STF 8C_433/2009 del 12 febbraio 2010 consid. 1.3., pubblicata in DTF 136 I 129).</w:t>
      </w:r>
    </w:p>
    <w:p>
      <w:r>
        <w:t>LAlta Corte ha, sì, indicato che al principio dellesclusione dellassunzione dei debiti da parte dellassistenza sociale possono essere ammesse delle eccezioni. Il TF ha, però, specificato che delle deroghe possono essere prese in considerazione allorché il mancato pagamento di debiti potrebbe comportare una nuova situazione durgenza a cui solo lintervento dellassistenza sociale potrebbe porre rimedio (cfr. STF 8C_21/2022 del 14 novembre 2022 consid. 4.3.; STF 8C_42/2023 del 22 dicembre 2023 consid. 4.5.; DTF 136 I 129).</w:t>
      </w:r>
    </w:p>
    <w:p>
      <w:r>
        <w:t>Tuttavia, giusta lart. 5 Reg.Las, la retroattività delle prestazioni assistenziali è in ogni caso limitata a tre mesi.</w:t>
      </w:r>
    </w:p>
    <w:p>
      <w:r>
        <w:t>Inoltre la concessione di prestazioni retroattive rappresenta in ogni caso una facoltà dellamministrazione.</w:t>
      </w:r>
    </w:p>
    <w:p>
      <w:r>
        <w:t>La possibilità contemplata dalla Las di corrispondere prestazioni assistenziali retroattive limitatamente a tre mesi va applicata a titolo eccezionale per i casi di rigore, allorché la copertura di spese arretrate evita un aggravamento ulteriore della situazione di bisogno (cfr. Messaggio dell8 maggio 2002 n. 5250 attinente alla modifica della legge sullassistenza sociale, p.to 2 ad art. 61; Messaggio aggiuntivo n. 5723a del 7 giugno 2006, p.to 1b).</w:t>
      </w:r>
    </w:p>
    <w:p>
      <w:r>
        <w:t>Ne discende che nella presente fattispecie non risulta alcuna spesa concreta relativa a contributi AVS a carico dellinsorgente che sarebbe rimasta inevasa e che potrebbe ingenerare una particolare situazione durgenza finanziaria (cfr. STCA 42.2021.43-44 del 27 settembre 2021 consid. 2.13.; STCA 42.2019.9 del 17 giugno 2019, il cui ricorso al Tribunale federale è stato ritenuto inammissibilecon giudizio 8C_514/2019 del 16 ottobre 2019; STCA 42.2017.46 del 14 novembre 2017 consid. 2.6.-2.7.).</w:t>
      </w:r>
    </w:p>
    <w:p>
      <w:r>
        <w:t>L'art. 32 cpv. 1 OAVS prevede che le persone tenute a pagare i contributi che, conformemente all'articolo 11 capoverso 2 LAVS, domandano il condono, devono presentare una domanda scritta e motivata alla cassa di compensazione cui esse sono affiliate; la cassa trasmette la domanda all'autorità designata dal Cantone di domicilio, affinché questa possa esprimere il suo parere.</w:t>
      </w:r>
    </w:p>
    <w:p>
      <w:r>
        <w:t>Secondo l'art. 32 cpv. 2 OAVS la cassa di compensazione decide della domanda di condono in base al parere dell'autorità designata dal Cantone di domicilio. Il condono può essere accordato per il periodo di due anni al massimo.</w:t>
      </w:r>
    </w:p>
    <w:p>
      <w:r>
        <w:t>Inoltre ex art. 32 cpv. 3 OAVS una copia della decisione di condono deve essere notificata al Cantone di domicilio; questo può fare opposizione ai sensi dell'art. 52 LPGA o impugnare la decisione in conformità agli articoli 56 e 62 LPGA.</w:t>
      </w:r>
    </w:p>
    <w:p>
      <w:r>
        <w:t>Per l'art. 17 del Decreto legislativo di applicazione della legge federale del 20 dicembre 1946 sull'assicurazione per la vecchiaia e i superstiti (RL 6.4.5.2), il Dipartimento dell'Interno, Servizio cantonale della pubblica assistenza (dal 15 marzo 2002: Dipartimento della sanità e della socialità), è designato quale autorità consultiva per il condono delle quote dovute dalle persone assicurate obbligatoriamente, per le quali il pagamento di esse costituirebbe un onere troppo grave. In tale caso la quota mensile di fr. 1.- è a carico dell'assistenza pubblica.</w:t>
      </w:r>
    </w:p>
    <w:p>
      <w:r>
        <w:t>Pertanto, quando la Cassa di compensazione ha ridotto il contributo al minimo di legge, l'assicurato debitore può domandare il condono.</w:t>
      </w:r>
    </w:p>
    <w:p>
      <w:r>
        <w:t>In effetti, il condono dei contributi è possibile solo quando l'assicurato è unicamente debitore del contributo minimo annuale (cfr. Direttive sui contributi dei lavoratori indipendenti e delle persone senza attività lucrativa nellAVS/AI e nelle IPG - DIN -, valide dal 1° gennaio 2008, stato: 1° gennaio 2025, N. 3070). La legge, in proposito, è molto chiara: è il contributo minimo, il cui pagamento costituirebbe un onere troppo grave per le persone assicurate obbligatoriamente, che può essere esonerato (art. 11 cpv. 2 LAVS).</w:t>
      </w:r>
    </w:p>
    <w:p>
      <w:r>
        <w:t>Il condono del contributo minimo può essere concesso solo ad assicurati che si troverebbero in una situazione insostenibile se dovessero pagare i contributi. Il condono dei contributi minimi è una misura straordinaria e può, quindi, essere concesso solo quando l'assicurato vive in grande povertà,situazione in cui si trovano di regola i beneficiari di prestazioni dellaiuto sociale(N. 3073 DIN).</w:t>
      </w:r>
    </w:p>
    <w:p>
      <w:r>
        <w:t>La situazione insostenibile quale condizione per il condono del contributo giusta l'art. 11 cpv. 2 LAVS deve essere esaminata secondo il minimo vitale previsto dal diritto dell'esecuzione (DTF 113 V 252 =RCC 1988 pag. 117; N. 3074 DIN).</w:t>
      </w:r>
    </w:p>
    <w:p>
      <w:r>
        <w:t>La citata norma legale prevede, altresì, che le Casse di compensazione sottopongano tutte le richieste di condono all'autorità designata dal Cantone di domicilio (per il Cantone Ticino: Ufficio del sostegno sociale e dell'inserimento), la quale si accolla, se sono dati gli estremi, il pagamento del contributo minimo.</w:t>
      </w:r>
    </w:p>
    <w:p>
      <w:r>
        <w:t>Al riguardo cfr. STCA 30.2021.11 del 15 novembre 2021; STCA 42.2015.6 del 28 settembre 2015; STCA 30.2013.46 del 27 febbraio 2014.</w:t>
      </w:r>
    </w:p>
    <w:p>
      <w:r>
        <w:t>2.11.In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42.2024.50 del 3 febbraio 2025 consid. 2.11.;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w:t>
      </w:r>
    </w:p>
    <w:p>
      <w:r>
        <w:rPr>
          <w:b/>
        </w:rPr>
        <w:t>E. 4</w:t>
      </w:r>
    </w:p>
    <w:p>
      <w:r>
        <w:t>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42.2024.50 del 3 febbraio 2025 consid. 2.11.;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w:t>
      </w:r>
    </w:p>
    <w:p>
      <w:r>
        <w:rPr>
          <w:b/>
        </w:rPr>
        <w:t>E. 4.3</w:t>
      </w:r>
    </w:p>
    <w:p>
      <w:r>
        <w:t>Altre prestazioni speciali (…) c. Contributi minimi AVS Il contributo minimo quale persona senza attività lucrativa è riconosciuto per l’anno in corso (ogni trimestre). Il beneficiario deve richiederne il riconoscimento all’USSI allegando la fattura originale. Per contributi arretrati (precedenti il diritto all’assistenza sociale), il beneficiario dovrà richiedere il condono al competente ufficio amministrativo.” Il tenore dei p.ti 4 e 4.3.c delle “Direttive riguardanti gli importi delle prestazioni assistenziali per il 2025” del 13 dicembre 2024 (cfr. BU N. 43 del 27 dicembre 2024 pag. 368 segg.) è il medesimo di quello delle Direttive per il 2024, con la sola eccezione che, oltre all’USSI, quale autorità competente è stato aggiunto l’URAR. Sulla portata delle direttive amministrative, cfr. STF 9C_79/2024 del 6 febbraio 2025 consid. 4.3., destinata alla pubblicazione nella Raccolta ufficiale; STF 9C_230/2024 del 21 gennaio 2025 consid. 4.1.; STF 8C_425/2023 del 21 maggio 2024 consid. 4.3.; STF 8C_228/2023 del 6 ottobre 2023 consid. 3.2.;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2.8.  Come risulta da quanto esposto al considerando precedente, le prestazioni speciali, tra cui figurano i contributi personali AVS, sono riconosciute se richieste all’USSI immediatamente o al più tardi entro tre mesi, allegando i relativi giustificativi dettagliati. Il termine di tre mesi entro il quale far valere le proprie domande di prestazioni speciali non è censurabile, ritenuto che l’assistenza sociale non ha come scopo quello di estinguere i debiti, bensì di permettere al beneficiario di prestazioni assistenziali di far fronte a necessità contingenti (cfr. STF 8C_42/2023 del 22 dicembre 2023 consid. 4.5.; STF 8C_21/2022 del 14 novembre 2022 consid. 4.3.; STF 8C_866/2014 del 14 aprile 2015; STF 8C_75/2014 del 16 luglio 2014; STF 8C_521/2010 del 27 settembre 2010 consid. 7.1, pubblicata in DTF 136 V 351; STF 8C_433/2009 del 12 febbraio 2010 consid. 1.3., pubblicata in DTF 136 I 129). L’Alta Corte ha, sì, indicato che al principio dell’esclusione dell’assunzione dei debiti da parte dell’assistenza sociale possono essere ammesse delle eccezioni. Il TF ha, però, specificato che delle deroghe possono essere prese in considerazione allorché il mancato pagamento di debiti potrebbe comportare una nuova situazione d’urgenza a cui solo l’intervento dell’assistenza sociale potrebbe porre rimedio (cfr. STF 8C_21/2022 del 14 novembre 2022 consid. 4.3.; STF 8C_42/2023 del 22 dicembre 2023 consid. 4.5.; DTF 136 I 129). Del resto l’art. 60 cpv. 1 Las enuncia che il diritto al pagamento delle prestazioni assistenziali (in particolare ordinarie) decorre dal primo giorno del mese in cui è depositata la domanda. È vero che ai sensi del cpv. 2 di tale disposto l’autorità competente può tuttavia, per un periodo limitato, effettuare versamenti retroattivi di prestazioni assistenziali speciali e di prestazioni assistenziali ordinarie se le circostanze o il particolare stato di bisogno del richiedente lo giustificano. Tuttavia, giusta l’art. 5 Reg.Las, la retroattività delle prestazioni assistenziali è in ogni caso limitata a tre mesi. Inoltre la concessione di prestazioni retroattive rappresenta in ogni caso una facoltà dell’amministrazione. La possibilità contemplata dalla Las di corrispondere prestazioni assistenziali retroattive limitatamente a tre mesi va applicata a titolo eccezionale per i casi di rigore, allorché la copertura di spese arretrate evita un aggravamento ulteriore della situazione di bisogno (cfr. Messaggio dell’8 maggio 2002 n. 5250 attinente alla modifica della legge sull’assistenza sociale, p.to 2 ad art. 61; Messaggio aggiuntivo n. 5723a del 7 giugno 2006, p.to 1b). 2.9.  In concreto i conteggi dei contributi AVS per il secondo e il terzo trimestre del 2024 emessi il 7 giugno 2024, rispettivamente il 4 settembre 2024 sono stati sottoposti all’USSI soltanto l’11 febbraio 2025 (cfr. doc. 10 inc. 42.2025.18; doc. A pag. 2), ossia ben più di tre mesi dopo la loro emissione. Inoltre gli importi di fr. 131.15 per trimestre sono comunque stati versati alla Cassa di compensazione dal ricorrente tramite transazione bancaria già il 24 giugno 2024 e il 12 settembre 2024 (cfr. doc. 17; 18 inc. 42.2015.18). Ne discende che nella presente fattispecie non risulta alcuna spesa concreta relativa a contributi AVS a carico dell’insorgente che sarebbe rimasta inevasa e che potrebbe ingenerare una particolare situazione d’urgenza finanziaria (cfr. STCA 42.2021.43-44 del 27 settembre 2021 consid. 2.13.; STCA 42.2019.9 del 17 giugno 2019, il cui ricorso al Tribunale federale è stato ritenuto inammissibile con giudizio 8C_514/2019 del 16 ottobre 2019; STCA 42.2017.46 del 14 novembre 2017 consid. 2.6.-2.7.). Il modo di operare dell’USSI, che ha rifiutato di versare al ricorrente una prestazione assistenziale speciale per il pagamento dei contributi AVS dei periodi aprile – giugno 2024 e luglio – settembre 2024, non presta, dunque, il fianco a critica alcuna. La decisione su reclamo del 15 aprile 2025 deve, conseguentemente, essere confermata. 2.10.  A titolo abbondanziale il TCA ritiene utile rilevare, anche con riferimento alle Direttive riguardanti gli importi delle prestazioni assistenziali per il 2024 e per il 2025 p.to 4.3.c (cfr. consid. 2.7.), che giusta l'art. 11 cpv. 2 LAVS se il pagamento del contributo minimo costituisce un onere troppo grave per l'assicurato, il contributo può essere condonato, a specifica richiesta motivata dell'interessato e previa consultazione dell'autorità designata dal Cantone di domicilio. Per questi assicurati è infatti il Cantone di domicilio che paga il contributo minimo. I Cantoni possono far contribuire i Comuni di domicilio al pagamento di questo contributo (cfr. SVR 2018 AHV Nr. 1). L'art. 32 cpv. 1 OAVS prevede che le persone tenute a pagare i contributi che, conformemente all'articolo 11 capoverso 2 LAVS, domandano il condono, devono presentare una domanda scritta e motivata alla cassa di compensazione cui esse sono affiliate; la cassa trasmette la domanda all'autorità designata dal Cantone di domicilio, affinché questa possa esprimere il suo parere. Secondo l'art. 32 cpv. 2 OAVS la cassa di compensazione decide della domanda di condono in base al parere dell'autorità designata dal Cantone di domicilio. Il condono può essere accordato per il periodo di due anni al massimo. Inoltre ex art. 32 cpv. 3 OAVS una copia della decisione di condono deve essere notificata al Cantone di domicilio; questo può fare opposizione ai sensi dell'art. 52 LPGA o impugnare la decisione in conformità agli articoli 56 e 62 LPGA. Per l'art. 17 del Decreto legislativo di applicazione della legge federale del 20 dicembre 1946 sull'assicurazione per la vecchiaia e i superstiti (RL 6.4.5.2), il Dipartimento dell'Interno, Servizio cantonale della pubblica assistenza (dal 15 marzo 2002: Dipartimento della sanità e della socialità), è designato quale autorità consultiva per il condono delle quote dovute dalle persone assicurate obbligatoriamente, per le quali il pagamento di esse costituirebbe un onere troppo grave. In tale caso la quota mensile di fr. 1.- è a carico dell'assistenza pubblica. Pertanto, quando la Cassa di compensazione ha ridotto il contributo al minimo di legge, l'assicurato debitore può domandare il condono. In effetti, il condono dei contributi è possibile solo quando l'assicurato è unicamente debitore del contributo minimo annuale (cfr. Direttive sui contributi dei lavoratori indipendenti e delle persone senza attività lucrativa nell’AVS/AI e nelle IPG - DIN -, valide dal 1° gennaio 2008, stato: 1° gennaio 2025, N. 3070). La legge, in proposito, è molto chiara: è il contributo minimo, il cui pagamento costituirebbe un onere troppo grave per le persone assicurate obbligatoriamente, che può essere esonerato (art. 11 cpv. 2 LAVS). Il condono del contributo minimo può essere concesso solo ad assicurati che si troverebbero in una situazione insostenibile se dovessero pagare i contributi. Il condono dei contributi minimi è una misura straordinaria e può, quindi, essere concesso solo quando l'assicurato vive in grande povertà, situazione in cui si trovano di regola i beneficiari di prestazioni dell’aiuto sociale (N. 3073 DIN). La situazione insostenibile quale condizione per il condono del contributo giusta l'art. 11 cpv. 2 LAVS deve essere esaminata secondo il minimo vitale previsto dal diritto dell'esecuzione ( DTF 113 V 252 = RCC 1988 pag. 117; N. 3074 DIN). La citata norma legale prevede, altresì, che le Casse di compensazione sottopongano tutte le richieste di condono all'autorità designata dal Cantone di domicilio (per il Cantone Ticino: Ufficio del sostegno sociale e dell'inserimento), la quale si accolla, se sono dati gli estremi, il pagamento del contributo minimo. Al riguardo cfr. STCA 30.2021.11 del 15 novembre 2021; STCA 42.2015.6 del 28 settembre 2015; STCA 30.2013.46 del 27 febbraio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