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42.2025.13</w:t>
      </w:r>
    </w:p>
    <w:p>
      <w:r>
        <w:t>TI Tribunale d'appello, IT</w:t>
      </w:r>
    </w:p>
    <w:p>
      <w:r>
        <w:rPr>
          <w:b/>
        </w:rPr>
        <w:t xml:space="preserve">Quelle: </w:t>
      </w:r>
      <w:r>
        <w:t>https://mcp.opencaselaw.ch/entscheid/ti_gerichte_42.2025.13</w:t>
      </w:r>
    </w:p>
    <w:p>
      <w:pPr>
        <w:pStyle w:val="Heading2"/>
      </w:pPr>
      <w:r>
        <w:t>Erwägungen</w:t>
      </w:r>
    </w:p>
    <w:p>
      <w:r>
        <w:rPr>
          <w:b/>
        </w:rPr>
        <w:t>E. 2</w:t>
      </w:r>
    </w:p>
    <w:p>
      <w:r>
        <w:t>luglio 2002 pag. 4752 segg.; BU 3/2003 del 31 gennaio2003).</w:t>
      </w:r>
    </w:p>
    <w:p>
      <w:r>
        <w:t>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2.3.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2.4.  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 28 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w:t>
      </w:r>
    </w:p>
    <w:p>
      <w:r>
        <w:rPr>
          <w:b/>
        </w:rPr>
        <w:t>E. 6</w:t>
      </w:r>
    </w:p>
    <w:p>
      <w:r>
        <w:t>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2.5.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(dal 2021 CSIAS)ampliato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 La nostra Massima Istanza ha evidenziato che due persone vanno considerate conviventi ai sensi dellart. 4 cpv. 1 lett. c Laps quando, indipendentemente dalla loro situazione sentimentale, sono pronte a prestarsi assistenza e sostegno reciproci, al di là di una semplice amicizia.</w:t>
      </w:r>
    </w:p>
    <w:p>
      <w:r>
        <w:t>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In una sentenza 42.2023.36 del 21 febbraio 2024 il TCA ha confermato il modo di procedere dellUSSI che aveva sospeso lerogazione delle prestazioni assistenziali a una persona, poiché era stato ritenuto, sulla base in particolare, dei controlli di Polizia, che la stessa convivesse in modo stabile con lex marito, nonostante i due avessero preso in locazione due appartamenti distinti in due diverse località.</w:t>
      </w:r>
    </w:p>
    <w:p>
      <w:r>
        <w:t>Al riguardo cfr. pure STCA 42.2023.35 del 21 febbraio 2024; STCA 42.2023.41 del 5 febbraio 2024;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w:t>
      </w:r>
    </w:p>
    <w:p>
      <w:r>
        <w:t>In concreto sono, inoltre, adempiuti i presupposti della revisione processuale (cfr. consid. 2.3.).</w:t>
      </w:r>
    </w:p>
    <w:p>
      <w:r>
        <w:t>Infatti lUSSI è venuto a conoscenza del fatto che tra il ricorrente e __________ vi fosse ancora una convivenza stabile tramite la nuova istruttoria avviata dallIspettorato il 12 settembre 2023 e conclusasi con il Rapporto del 26 luglio 2024 (cfr. doc. 574; consid. 2.7.).</w:t>
      </w:r>
    </w:p>
    <w:p>
      <w:r>
        <w:t>È, quindi, emerso un fatto nuovo atto a indurre a una conclusione giuridica diversa rispetto alle decisioni iniziali di assegnazione delle prestazioni assistenziali da febbraio 2023 a luglio 2024.</w:t>
      </w:r>
    </w:p>
    <w:p>
      <w:r>
        <w:t>È, perciò, evidente che per questo arco di tempo tali provvedimenti andavano rivisti.</w:t>
      </w:r>
    </w:p>
    <w:p>
      <w:r>
        <w:t>Il 2 settembre 2024 il diritto dellUSSI di richiedere la restituzione delle prestazioni assistenziali non era, peraltro, perento, considerato, da una parte, che lart. 26 cpv. 2 Laps,applicabile in virtù del rinvio di cui allart. 36 Las,enuncia che il diritto di esigere la restituzione è perento dopo un anno dal momento in cui lorgano amministrativo competente ha avuto conoscenza dellindebito ma, in ogni caso, dopo cinque anni dal pagamento della prestazione (cfr. consid. 2.3.), dallaltra, che lamministrazione ha saputo dellulteriore convivenza tra il ricorrente e __________ grazie alla procedura amministrativa aperta dallIspettorato sociale il 12 settembre 2023 che ha condotto lallestimento del Rapporto Ispettorato  chiusura caso del 26 luglio 2024(cfr. doc. 574-577; STCA 42.2023.30 del 29 settembre 2023 consid. 2.11.; STCA 42.2019.43 del 27 aprile 2020 consid. 2.11.; STCA 42.2016.8 del 23 gennaio 2017 consid. 2.12., il cui ricorso al TF è stato ritenuto inammissibile con giudizio 8C_145/2017 dell8 giugno 2017, in quantoil ricorrente non ha versato l'anticipo spese nemmeno entro il termine suppletorio; STCA 42.2015.2 del 5 maggio 2015 consid. 2.7.).</w:t>
      </w:r>
    </w:p>
    <w:p>
      <w:r>
        <w:t>LUSSI ha determinato tale ammontare sommando gli interi importi delle prestazioni assistenziali ordinarie versate allinsorgente da febbraio 2023 a luglio 2024, pari a fr. 40'158.-- (fr. 2'231 x 18 mesi; cfr. doc. 281-282;246; 242; 231; 221; 211; 200; 188; 177; 159; 154; 139; 109; 82; 59; 550), alle prestazioni speciali (contributi minimi AVS, franchigia e partecipazioni CM, cure dentarie) corrispostegli nel periodo in questione per fr. 2'255.55 (cfr. doc. 281-282; 96; 77; 74).</w:t>
      </w:r>
    </w:p>
    <w:p>
      <w:r>
        <w:t>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w:t>
      </w:r>
    </w:p>
    <w:p>
      <w:r>
        <w:t>Secondo il cpv. 4 contro la decisione sono dati i rimedi di diritto di cui allart. 33 della Leggesull'armonizzazione e il coordinamento delle prestazioni sociali(Laps). Il reclamo ed il ricorso non hanno effetto sospensivo.</w:t>
      </w:r>
    </w:p>
    <w:p>
      <w:r>
        <w:t>In dottrinaC. Hänzi(Die Richtlinien der schweizerischen Konferenz für Sozialhilfe". 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Questultimo deve tenerne conto per prendere la sua decisione nella misura in cui queste ultime permettono uninterpretazione delle disposizioni legali applicabili giustificata nel caso di specie (cfr.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w:t>
      </w:r>
    </w:p>
    <w:p>
      <w:r>
        <w:t>2.18.Alla luce di quanto precede la decisione su reclamo del 30 gennaio 2025 deve, conseguentemente, essere confermata.</w:t>
      </w:r>
    </w:p>
    <w:p>
      <w:r>
        <w:t>2.19.In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2.20.  Il ricorrente ha, infine, postulato la concessione del beneficio del gratuito patrocinio (cfr. doc. I pag. 7; consid. 1.9.).</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w:t>
      </w:r>
    </w:p>
    <w:p>
      <w:r>
        <w:t>Laltra condizione per l'ammissione all'assistenza giudiziaria enunciata dalla LAG è definita negativamente all'art. 3 cpv. 3:</w:t>
      </w:r>
    </w:p>
    <w:p>
      <w:r>
        <w:t>"Essa è esclusa se la procedura non presenta possibilità di esito</w:t>
      </w:r>
    </w:p>
    <w:p>
      <w:r>
        <w:t>favorevole per listante.</w:t>
      </w:r>
    </w:p>
    <w:p>
      <w:r>
        <w:t>I presupposti (cumulativi) per la concessione dellassistenza giudiziaria sono in principio dati se listante si trova nel bisogno, se lintervento dellavvocato è necessario o perlomeno indicato e se il processo non è palesemente privo di esito positivo (cfr. STF 9C_217/2025 del 3 luglio 2025 consid. 3.2.; STF 8C_8/2022 del 12 maggio 2022 consid. 3.2.; STF 9C_686/2020 dell11 gennaio 2021 consid. 1; STF 8C_512/2017 del 12 ottobre 2017 consid. 3.1.; STF 9C_844/2012 del 5 dicembre 2012 consid. 2; DTF 125 V 202 consid. 4a, 372 consid. 5b e riferimenti).</w:t>
      </w:r>
    </w:p>
    <w:p>
      <w:r>
        <w:t>2.20.1.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9C_217/2025 del 3 luglio 2025 consid. 3.2.; STF 512/2017 del 12 ottobre 2017 consid 3.2.; STF 9C_37/2012+9C_106/2012 del 16 gennaio 2013 consid. 3.2.; STFA del 26 settembre 2000 nella causa D.N.; RAMI 1994 pag.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(cfr.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r>
        <w:t>Al riguardo cfr. pure STF 9C_551/2023 del 28 marzo 2024 consid. 5.3.2.; STF 9C_168/2021 del 22 giugno 2022 consid. 2; STF 8C_56/2021 del 17 marzo 2021 consid. 8.1.; STF 8C_941/2015 del 15 febbraio 2016 consid. 2.2.; STCA 42.2022.7 del 23 maggio 2022 consid. 2.13.; del STCA 42.2019.21 del 18 settembre 2019 consid. 2.11.</w:t>
      </w:r>
    </w:p>
    <w:p>
      <w:r>
        <w:t>2.20.2.  Nella concreta fattispecie il TCA, già a prescindere dalla questione relativa al fatto che il ricorrente, nonostante lesplicita richiesta da parte di questo Tribunale (cfr. doc. VII), non abbia prodotto il certificato municipale per lammissione allassistenza giudiziaria (dal mese di novembre 2024 quale suo indirizzo risulta unicamente un fermoposta presso lUfficio postale di __________; cfr. doc. 11; I; B), ritiene che non sia soddisfatto il requisito della probabilità di esito favorevole (cfr. consid. 2.21.1.; STF 8C_563/2010 del 29 settembre 2010; STF U 347/98 del 10 ottobre 2001; STF I 446/00 dell'8 febbraio 2001; STF U 220/99 del 26 settembre 2000; STF 1P.569/2001 del 17 ottobre 2001; DTF 119 Ia 253 consid. 3b).</w:t>
      </w:r>
    </w:p>
    <w:p>
      <w:r>
        <w:t>Alla luce, in particolare, della Las, della Laps, dei relativi Regolamenti, nonché della giurisprudenza federale e cantonale pubblicata, segnatamente, nei siti www.bger.ch ewww.sentenze.ti.ch,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tenuto conto della documentazione agli atti, da cui emerge che linsorgente, nel periodo febbraio 2023  luglio 2024, convivesse in modo stabile ai sensi della Las, della Laps e della giurisprudenza con __________, il ricorso si rivelava già di primo acchito infondato.</w:t>
      </w:r>
    </w:p>
    <w:p>
      <w:r>
        <w:t>Al riguardo cfr. DTF 125 II 265 consid. 4c; STCA 42.2024.48-49 del 31 marzo 2025 consid. 2.21.2.</w:t>
      </w:r>
    </w:p>
    <w:p>
      <w:r>
        <w:t>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