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42.2024.57 vom 28. April 2025</w:t>
      </w:r>
    </w:p>
    <w:p>
      <w:r>
        <w:t>TI Tribunale d'appello, 2025-04-28, IT</w:t>
      </w:r>
    </w:p>
    <w:p>
      <w:r>
        <w:rPr>
          <w:b/>
        </w:rPr>
        <w:t xml:space="preserve">Quelle: </w:t>
      </w:r>
      <w:r>
        <w:t>https://mcp.opencaselaw.ch/entscheid/ti_gerichte_42.2024.57</w:t>
      </w:r>
    </w:p>
    <w:p>
      <w:r>
        <w:t>FR: TI_GERICHTE 42.2024.57 du 28 avril 2025</w:t>
      </w:r>
    </w:p>
    <w:p>
      <w:r>
        <w:t>IT: TI_GERICHTE 42.2024.57 del 28 aprile 2025</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2.8</w:t>
      </w:r>
    </w:p>
    <w:p>
      <w:r>
        <w:t>Il p.to F.2. delle linee guida della Conferenza svizzera delle istituzioni dell’azione sociale (CSIAS), valide dal 1° gennaio 2021 (cfr. https://skos.ch/it/norme-csias/consultare-le-norme ), relativo alle sanzioni, prevede: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2.5.  Relativamente al calcolo della spesa per lalloggio, il TCA rileva che secondo lart. 22 lett. c Las, ai fini della determinazione della prestazione assistenziale, viene considerato laffitto maggiorato delle spese accessorie effettive fino al massimale previsto dallart. 9 Laps.</w:t>
      </w:r>
    </w:p>
    <w:p>
      <w:r>
        <w:t>Lart. 9 cpv. 1 Laps prevede, segnatamente, che per le unità di riferimento composte di una persona la spesa per lalloggio è computata fino ad un massimo corrispondente allimporto riconosciuto dalla legislazione sulle prestazioni complementari all'AVS/AI per la persona sola.</w:t>
      </w:r>
    </w:p>
    <w:p>
      <w:r>
        <w:t>Per le unità di riferimento composte di due persone la spesa per lalloggio è computata fino ad un massimo corrispondente allimporto riconosciuto dalla legislazione sulle prestazioni complementari all'AVS/AI per i coniugi.</w:t>
      </w:r>
    </w:p>
    <w:p>
      <w:r>
        <w:t>Limporto riconosciuto dalla legislazione sulle prestazioni complementari all'AVS/AI, sino al 31 dicembre 2020, era pari a fr. 13'200.-- annui, ossia fr. 1'100.-- mensili per la persona sola e a fr. 15'000.-- allanno, e meglio fr. 1'250.-- al mese per due persone (cfr. art. 10 cpv. 1 lett. b vLPC; art. 2 della Legge di applicazione della legge federale concernente le prestazioni complementari allassicurazione federale per la vecchiaia, i superstiti e linvalidità  LaLPC).</w:t>
      </w:r>
    </w:p>
    <w:p>
      <w:r>
        <w:t>Gli importi massimi contemplati dalla LPC, alla quale lart. 9 Laps fa riferimento, sono stati aumentati con effetto dal 1° gennaio 2021. In effetti la modifica della LPC, approvata dal Parlamento il 22 marzo 2019 ed entrata in vigore a decorrere dal 1° gennaio 2021, ha previsto un adeguamento degli importi massimi riconosciuti per la pigione, e meglio, per una persona sola, da fr. 13'200.-- annui a fr. 16'440.--  (fr. 1'370.-- mensili) nella regione 1, rispettivamente a fr. 15'900.-- (fr. 1'325.-- mensili) nella regione 2 e fr. 14'520.-- (fr. 1'210.-- mensili) nella regione 3.</w:t>
      </w:r>
    </w:p>
    <w:p>
      <w:r>
        <w:t>Se più persone vivono nella stessa economia domestica va aggiunto un supplemento di fr. 3'000.--(fr. 250.-- mensili)in tutte e tre le regioni per la seconda persona, un supplemento di fr. 2'160.--(fr. 180.-- mensili)franchi nella regione 1 e di fr. 1'800.--(fr. 150.-- mensili)nelle regioni 2 e 3 per la terza persona, nonché un supplemento di fr. 1'920.--(fr. 160.-- mensili)nella regione 1, di fr. 1'800.--(fr. 150.-- mensili)nella regione 2 e di fr. 1'560.--(fr. 130.-- mensili)nella regione 3 per la quarta persona(cfr. art. 10 cpv. 1 lett. b cfr. 1 e 2 LPC;lOrdinanza del DFI sulla ripartizione dei Comuni nelle tre regioni di pigione secondo la legge federale sulle prestazioni complementari allassicurazione per la vecchiaia, i superstiti e linvalidità del 12 marzo 2020, stato al 1° gennaio 2021 e lAllegato 1; RU 2020 6291;STCA 42.2020.21 del 26 maggio 2021 consid. 2.6.;STCA 42.2020.27 del 22 marzo 2021 consid. 2.5.).</w:t>
      </w:r>
    </w:p>
    <w:p>
      <w:r>
        <w:t>A far tempo dal 1° gennaio 2023 gli importi massimi per la pigione per una persona che vive sola giusta larticolo 10 capoverso 1 lettera b numero 1 LPC sono stati aumentati a fr.17580.--(fr. 1465.-- mensili)nella regione 1, a fr. 17040.--(fr. 1'420.-- mensili)nella regione 2 e a fr. 15540(fr. 1295.-- mensili)nella regione 3.¨</w:t>
      </w:r>
    </w:p>
    <w:p>
      <w:r>
        <w:t>I supplementi da applicare nel caso in cui più persone vivano nella stessa economia domestica giusta larticolo 10 capoverso 1 lettera b numero 2 LPC sono stati aumentati a fr. 3240.--(fr. 270.-- mensili)nella regione 1, fr. 3180.--(fr. 265.-- mensili)nella regione 2 e fr. 3240.--(fr. 270.-- mensili)nella regione 3 per la seconda persona; fr. 2280.--(fr. 190.-- mensili)nella regione 1 e fr. 1920.--(fr. 160.-- mensili)nelle regioni 2 e 3 per la terza persona; fr. 2100.-- (fr. 175.-- mensili) nella regione 1, fr. 1980.-- (fr. 165.-- mensili) nella regione 2 e fr. 1680.-- (fr. 140.-- mensili) nella regione 3 per la quarta persona (cfr. art. 2 Ordinanza 23 sulladeguamento delle prestazioni complementari allAVS/AI e delle prestazioni transitorie per i disoccupati anziani del 12 ottobre 2022; RU 2022 608).</w:t>
      </w:r>
    </w:p>
    <w:p>
      <w:r>
        <w:t>Dal 1° gennaio 2025 gli importi massimi per la pigione per una persona che vive sola secondo larticolo 10 capoverso 1 lettera b numero 1 LPC ammontano a fr. 18900.--(fr. 1'575.-- mensili)nella regione 1, a fr. 18300.--(fr. 1'525.-- mensili)nella regione 2 e a fr. 16680.--(fr. 1'390.-- mensili)nella regione 3.</w:t>
      </w:r>
    </w:p>
    <w:p>
      <w:r>
        <w:t>I supplementi se più persone vivono nella stessa economia domestica secondo larticolo 10 capoverso 1 lettera b numero 2 LPC sono pari a fr. 3420.--(fr. 285.-- mensili)nella regione 1, fr. 3420.--(fr. 285.-- mensili)nella regione 2 e fr. 3480.--(fr. 290.-- mensili)nella regione 3 per la seconda persona; fr. 2460.--(fr. 205.-- mensili)nella regione 1 e fr. 2040.--(fr. 170.-- mensili)nelle regioni 2 e 3 per la terza persona; fr. 2280.--(fr. 190.-- mensili)nella regione 1, fr. 2160.--(fr. 180.-- mensili)nella regione 2 e fr. 1800.--(fr. 150.-- mensili)nella regione 3 per la quarta persona (cfr. art. 2 Ordinanza sulladeguamento delle prestazioni complementari allAVS/AI e delle prestazioni transitorie per i disoccupati anziani dal 2025 del 28 agosto 2024 RU 2024 468; art. 10 cpv. 2 lett. b LPC).</w:t>
      </w:r>
    </w:p>
    <w:p>
      <w:r>
        <w:t>Il Comune di __________ si trova nella regione 2 (__________).</w:t>
      </w:r>
    </w:p>
    <w:p>
      <w:r>
        <w:t>2.6.  Lart. 67 Las, relativo allobbligo di informazione in generale, prevede che:</w:t>
      </w:r>
    </w:p>
    <w:p>
      <w:r>
        <w:t>Giusta lart. 68 Las, afferente allobbligo di informazione in particolare:</w:t>
      </w:r>
    </w:p>
    <w:p>
      <w:r>
        <w:t>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w:t>
      </w:r>
    </w:p>
    <w:p>
      <w:r>
        <w:t>Secondo il cpv. 4 contro la decisione sono dati i rimedi di diritto di cui allart. 33 della Leggesull'armonizzazione e il coordinamento delle prestazioni sociali(Laps). Il reclamo ed il ricorso non hanno effetto sospensivo.</w:t>
      </w:r>
    </w:p>
    <w:p>
      <w:r>
        <w:t>In dottrinaC. Hänzi(Die Richtlinien der schweizerischen Konferenz für Sozialhilfe". 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w:t>
      </w:r>
    </w:p>
    <w:p>
      <w:r>
        <w:t>In effetti ledirettive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 DTF 133 V 257 consid. 3.2 pag. 258 seg.;DTF 132 V 125 consid. 4.4; 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consid.3.3.; DTF 118 V 32, DTF 109 V 169 consid. 3b).</w:t>
      </w:r>
    </w:p>
    <w:p>
      <w:r>
        <w:t>Anche lart. 27 della legge federale sulla parte generale del diritto delle assicurazioni sociali (LPGA), applicabile in casu per analogia, regola la Informazione e consulenza e ha il seguente tenore: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8C_220/2021 del 12 maggio 2021 consid. 3.1.; STF 8C_438/2018 del 10 agosto 2018 consid. 3.2.; STFAC 192/04 del 14 settembre 2005 consid.4.1., pubblicata in DTF 131 V 472 e in SVR 2006 ALV Nr. 9 pag. 31; STFA C 241/04 del 9 maggio 2006 consid.6; STFA C 157/05 del 28 ottobre 2005 consid. 4.2.).</w:t>
      </w:r>
    </w:p>
    <w:p>
      <w:r>
        <w:t>2.15.In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STF 8C_226/2011 del 24 gennaio 2012 relativa ad un avvocato indipendente al quale, non avendo dichiarato il proprio guadagno, il reddito di inserimento è stato soppresso per due mesi a titolo di sanzione ed è stata chiesta la restituzione di un determinato importo, nonché STF 8C_329/2023 del 21 novembre 2023 concernente la decurtazione del 20% del forfait di mantenimento per tre mesi a causa della mancata collaborazione da parte della ricorrente e del fatto che il suo luogo di residenza non fosse stabilito chiaramente. L’Alta Corte, con sentenza 8C_543/2016 del 20 settembre 2016, ha confermato il giudizio di questa Corte 42.2016.5 del 3 agosto 2016, nel quale quest’ultima aveva stabilito che l’USSI aveva, a giusta ragione, applicato alla ricorrente una riduzione delle prestazioni assistenziali di fr. 250.-- al mese per tre mesi a seguito dell’interruzione di un’occupazione adeguata dopo pochi giorni di attività. In una sentenza 42.2014.12 del 6 novembre 2014, pubblicata in RtiD II-2015, pag. 38 seg., il TCA ha deciso che l’USSI aveva rettamente applicato a un beneficiario di prestazioni assistenziali una riduzione di fr. 250.-- al mese per tre mesi, poiché il medesimo, non partecipando al colloquio che aveva lo scopo di assegnargli un’attività di pubblica utilità, aveva di fatto rifiutato una misura di inserimento. In una sentenza STCA 42.2018.14 del 13 agosto 2018 questa Corte ha respinto il ricorso di un beneficiario dell’aiuto sociale nei cui confronti l’USSI aveva applicato una riduzione delle prestazioni assistenziali di fr. 100.-- al mese per tre mesi, poiché egli non aveva fornito, nonostante i vari solleciti, le risposte dei potenziali datori di lavoro in relazione alle ricerche di impiego da lui inviate tra gennaio ed agosto 2017. Con un ulteriore giudizio 42.2018.16 sempre del 13 agosto 2018 il TCA ha confermato quanto stabilito dall’USSI che aveva applicato alla ricorrente una riduzione delle prestazioni assistenziali di fr. 300.- al mese per tre mesi, ritenendo che quest’ultima, continuando a percepire le prestazioni assistenziali senza annunciare che aveva iniziato un’attività lucrativa, avesse violato il suo obbligo di collaborazione e di fornire tutte le informazioni necessarie per la definizione del proprio reddito disponibile residuale previsto all’art. 9a cpv. 1 lett. d Reg. Las. Questo Tribunale, in una sentenza 42.2021.63 del 17 gennaio 2022, ha poi avallato il modo di operare dell’USSI che aveva applicato una sanzione di fr. 300.-- mensili per tre mesi a un beneficiario dell’aiuto sociale che non aveva preventivamente informato l’amministrazione del suo soggiorno all’estero tra metà luglio e inizio agosto 2020. Con giudizio 42.2021.62 sempre del 17 gennaio 2022 il TCA ha respinto il ricorso di un beneficiario dell’assistenza sociale al quale era stata inflitta una sanzione di fr. 300.-- mensili per tre mesi, poiché aveva versato l’importo di fr. 20'000.-- ricavato dalla vendita di una collezione numismatica all’UEF per bloccare l’asta dell’abitazione familiare, invece di utilizzarlo per far fronte al proprio mantenimento. Con una sentenza 42.2022.98 del 24 aprile 2023 questa Corte ha stabilito che a ragione l’USSI aveva applicato una sanzione di fr. 300.-- mensili per tre mesi alla ricorrente, in quanto non aveva richiesto tempestivamente la rendita AVS anticipata. In un recente giudizio 42.2024.48-49 del 31 marzo 2025, non ancora cresciuto in giudicato, il TCA ha avallato il modo di operare dell’amministrazione che aveva, in particolare, inflitto una sanzione di fr. 300.-- per tre mesi a un beneficiario di prestazioni assistenziali per avere fornito documentazione inveritiera circa il suo diritto di visita nei confronti dei figli con i quali, in realtà, non intratteneva rapporti. Infine con STCA 42.2024.47, anch’essa datata 31 marzo 2025 e non passata in giudicato, è stata confermata una sanzione di fr. 300.-- per tre mesi per la mancata informazione di prestiti ricevuti da terzi per l’acquisto di autovetture e motoveicoli poi rivenduti. 2.11.  Nella presente evenienza è incontestato che RI 1 non ha versato tempestivamente le pigioni di agosto e settembre 2024. La medesima, dopo aver beneficiato di indennità straordinarie di disoccupazione (ISD; ex art. 12 L-rilocc ai lavoratori indipendenti disoccupati possono essere concesse al massimo 120 ISD intere sull’arco di un anno ) dal 24 gennaio al 9 luglio 2024 (l’ultimo conteggio risale al 31 luglio 2024 e prevede per luglio 2024 una prestazione di fr. 982.80 per sette giorni indennizzati; cfr. doc. 541; 542 inc. 42.2024.44), ha fatto nuovamente ricorso all’assistenza sociale (cfr. consid. 1.1.). Per il mese di agosto 2024, con decisione del 13 agosto 2024 (cfr. doc. 340 inc. 42.2024.44), l’USSI ha assegnato alla ricorrente una prestazione assistenziale ordinaria di fr. 930.--, di cui le sono stati versati, il 19 agosto 2024 (cfr. doc. 294 inc. 42.2024.44), fr. 915.55 (fr. 14.45 sono stati corrisposti direttamente alla cassa malati). È vero che tale prestazione è stata aumentata soltanto con decisione su reclamo del 29 novembre 2024 a fr. 1'380.--, stralciando dal conteggio l’ammontare di fr. 5'400.-- annui, pari a fr. 450.-- mensili, a titolo di “ogni altro reddito” (cfr. doc 307 inc. 42.2024.44). È altrettanto vero, però, che per il mese di settembre 2024, con decisione dell’11 settembre 2024, le è poi stata riconosciuta una prestazione assistenziale ordinaria di fr. 2’342.--, corrispostale il 16 settembre 2024 (cfr. doc. 260; 202 inc. 42.2024.44). Tuttavia anche per questo mese, come per agosto 2024, la pigione non è stata pagata, nonostante nei calcoli relativi ai provvedimenti del 13 agosto 2024 e dell’11 settembre 2024 sia stato computato a titolo di spesa per l’alloggio l’importo di fr. 20'220.-- annui – importo massimo ammissibile per un’unità di riferimento composta di due persone (cfr. consid. 2.5.) –, pari a fr. 1'685.-- mensili, a fronte di un costo effettivo di fr. 21'324.-- all’anno, ossia di fr. 1'777.-- (cfr. doc. 263; 344 inc. 42.2024.44; PLA10). Va, altresì, rilevato che la ricorrente è contraria a un versamento diretto al locatore della parte della prestazione assistenziale ordinaria relativa alla pigione, come indicato anche nell’impugnativa (cfr. doc. I pag. 5; APL2 pag. 19). Da un messaggio di posta elettronica del 16 dicembre 2024 di un’operatrice sociale del Comune di __________ all’insorgente si evince d’altronde: " la maggior parte delle associazioni quali __________, __________, __________, __________ come anche il nostro Regolamento sociale comunale chiedono ai servizi sociali comunali una verifica della situazione sociale ed economica della persona che richiede l'aiuto, perché non disponendo di mezzi illimitati di aiuto finanziario devono essere sicuri che gli aiuti che vengono dati abbiano effetto sul lungo periodo e abbiano una garanzia di essere risolutivi. Ad esempio nel caso di beneficiari di prestazioni assistenziali che richiedono un aiuto per delle pigioni arretrate, onde evitare che nei prossimi mesi la situazione si ripeta, si richiede alle persone di autorizzare le prestazioni assistenziali al pagamento diretto dell'affitto. Infatti dopo la risposta negativa di __________, le ho chiaramente detto che non avrei più fatto altre richieste finanziarie sostenute dal nostro ufficio, perché non era disposta a permettere alle prestazioni assistenziali il pagamento diretto dell'affitto, che per me equivale a garantire alle associazioni che fintanto sarà a carico di prestazioni assistenziali non ci saranno nuovi scoperti. Qualora intendesse rivedere la sua posizione in merito al pagamento diretto dell'affitto, il nostro servizio sociale potrà sostenerla con una richiesta finanziaria verso il comune (come caso di rigore, non avendo i 5 anni di domicilio) oppure verso altre associazioni (tranne __________ che non entra più nel merito, perché era già stata sostenuta in precedenza) per evitare lo sfratto. (…)” (Doc. APL2 pag. 19) L’insorgente, del resto, da una parte, sapeva di dover provvedere al pagamento della pigione, in quanto nella decisione del 13 agosto 2024 era stato esplicitamente indicato che nel calcolo della prestazione assistenziale mensile era considerata la spesa dell’affitto e che in caso di mancato pagamento con necessità di intervento dell’USSI, si sarebbe potuta applicare una riduzione delle prestazioni (cfr. doc. 340-341 inc. 42.2024.44). Dall’altra, nemmeno ha fatto valere di avere contattato la parte resistente, segnatamente nel mese di agosto 2024, in cui effettivamente, dopo aver ricevuto, come visto, l’indennità straordinaria di disoccupazione di luglio 2024 per soli sette giorni, pari a fr. 982.80, ha percepito, il 19 agosto 2024, una prestazione assistenziale di fr. 915.55 (aumentata solo con decisione del 29 novembre 2024), al fine di chiedere ragguagli in merito a come procedere con il versamento della pigione. In concreto, pertanto, si giustifica l’applicazione nei confronti della ricorrente di una riduzione della prestazione assistenziale per non avere utilizzato l’assistenza sociale per far fronte a una spesa, quella dell’alloggio, compresa nel conteggio della prestazione assistenziale ordinaria, delle prestazioni assistenziali (cfr. consid. 2.7.; 2.10.). 2.12.  Per quanto attiene alla pretesa violazione dell’obbligo di informare da parte dell’amministrazione per non avere avvisato l’insorgente del “principio di mutua esclusione delle misure attive (art. 2 LPAS) nel presentare la misura d’indennità speciale di disoccupazione (ISD)” (cfr. doc. I pag. 4), giova osservare che l’art. 18 Laps, applicabile anche nell’ambito dell’assistenza sociale (cfr. art. 1, 2 Laps) e relativo all’informazione e consulenza, enuncia: " 1 Il Consiglio di Stato provvede affinché il cittadino disponga di una rete di informazione sulle possibilità di accesso alle prestazioni sociali efficace e decentralizzata. 2 Scopo dell’informazione è di: a) informare e orientare l’utente sulle sue possibilità di accesso alle prestazioni sociali; b) mettere a disposizione dell’utente la necessaria documentazione e in particolare i moduli di richiesta e di accertamento del reddito disponibile residuale; c) indirizzare ed accompagnare l’utente verso altri servizi pubblici o privati operanti nel settore. 3 La consulenza in merito ai propri diritti ed obblighi è, di regola, fornita gratuitamente.” Anche l’art. 27 della legge federale sulla parte generale del diritto delle assicurazioni sociali (LPGA), applicabile in casu per analogia, regola la “Informazione e consulenza” 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8C_220/2021 del 12 maggio 2021 consid. 3.1.; STF 8C_438/2018 del 10 agosto 2018 consid. 3.2.; STFA C 192/04 del 14 settembre 2005 consid. 4.1., pubblicata in DTF 131 V 472 e in SVR 2006 ALV Nr. 9 pag. 31; STFA C 241/04 del 9 maggio 2006 consid. 6; STFA C 157/05 del 28 ottobre 2005 consid. 4.2.). Nel caso di specie, anche qualora la ricorrente non sia stata informata del fatto che quando si percepiscono le indennità straordinarie di disoccupazione non è possibile beneficiare contemporaneamente dell’assistenza sociale, la stessa non potrebbe trarre alcun vantaggio da tale circostanza. In effetti, in virtù del principio di sussidiarietà che vige nell’ambito dell’assistenza sociale e secondo cui non esiste un diritto di opzione tra le fonti di aiuto prioritario, poiché l’aiuto sociale è sussidiario rispetto alle prestazioni legali di terzi, alle prestazioni volontarie da parte di terzi e alle prestazioni delle assicurazioni sociali, per cui occorre, prima di far capo all’assistenza sociale, esaurire tutte le altre possibilità di reddito (cfr. DTF 150 I 6 consid. 10.1.2.; STF 8C_344/2019 del 15 novembre 2019 consid. 6.4.; STF 8C_708/2018 del 26 marzo 20219 consid. 4.2.; DTF 142 V 513; STF 8C_56/2012 dell’11 dicembre 2012 consid. 3.1.), l’insorgente, anche nel caso in cui le fosse stato chiaro che non avrebbe potuto ricevere per lo stesso periodo indennità straordinarie di disoccupazione e prestazioni assistenziali, non aveva la facoltà di scegliere di richiedere soltanto queste ultime dal momento che le ISD hanno la priorità (cfr. STCA 42.2022.90 del 30 gennaio 2023 consid. 2.6.). Ella, peraltro, dopo la fine del diritto alle ISD il 9 luglio 2024 non ha immediatamente postulato il riconoscimento di prestazioni assistenziali, bensì ha atteso fino al 5 agosto 20924 (cfr. doc. 848 inc. 42.2024.44). 2.13.  In relazione alla Convenzione europea dei diritti dell’uomo (CEDU) e alla Convenzione dell’ONU sui diritti dell’infanzia invocate nell’impugnativa (cfr. doc I pag. 4), il TCA si limita a evidenziare che il Tribunale federale in una sentenza 2C_998/2015 del 20 settembre 2016, riguardo alla CEDU, al consid. 4.5., ha ricordato: " (…) les dispositions de la CEDH ne limitent en principe pas la liberté de l'Etat de décider s'il convient ou non d'instaurer un système de sécurité sociale ou de choisir le type ou le niveau de prestations devant être accordées au titre de pareil régime (cf. ATF 140 I 77 consid. 10 p. 89 s.; 140 I 305 consid. 9.2 p. 315 s.; 139 I 155 consid. 4.2 p. 158, déféré devant la Cour EDH le 14 octobre 2013 sous le numéro d'ordre 65550/13; cf., sous l'angle de la garantie de la propriété, arrêt de la Cour EDH  Stec et al. c. Royaume-Uni [GC], du 12 avril 2006, req. 65731/01 et 65900/01, Rec. 2006-VI, par. 53). En effet, c'est en première ligne au législateur qu'il appartient de définir le contenu et les conditions de l'intervention de l'Etat, en fonction des objectifs de politique sociale que celui-ci se fixe ( ATF 139 I 257 consid. 5.2.3 p. 262), notamment au travers des lois relatives à l'assurance-invalidité ou à l'aide sociale; toutefois, ces normes et l'éventuelle latitude de jugement que celles-ci impliquent doivent être interprétées en conformité avec les droits fondamentaux et les principes constitutionnels guidant l'activité de l'Etat (cf. ATF 140 I 77 consid. 5.3 p. 81; 139 II 289 consid. 2.2.2 p. 295; 138 I 225 consid. 3.5 p. 229). L'intervention du juge demeure subsidiaire à cet égard. Par ailleurs, les garanties précitées n'imposent, en règle générale, pas à elles seules aux autorités l'obligation de fournir certaines prestations financières ou de garantir un niveau de vie déterminé aux individus (cf. ATF 139 I 272 consid. 5 p. 279; 139 I 155 consid. 4.2 p. 158; arrêt de la Cour EDH  Petrovic c. Autriche, du 27 mars 1998, req. 20458/92, Rec.1998-II, par. 26 ss).” Va, poi, osservato, sia relativamente alla CEDU che alla Convenzione ONU sui diritti dell’infanzia e a prescindere dalla questione se le disposizioni di quest’ultima rilevanti in casu siano o meno direttamente giustiziabili (in proposito cfr. DTF 143 I 1 consid. 1.3.), che nella concreta fattispecie alla ricorrente e alla figlia sono comunque state riconosciute le prestazioni assistenziali ordinarie (cfr. consid. 1.1.). In effetti oggetto della presente lite non è il rifiuto di tali prestazioni o dell’aiuto in situazioni di bisogno ex art. 12 Cost. 2.14.  Per quanto concerne l’entità della sanzione inflitta all’insorgente (fr. 100.-- mensili per tre mesi da novembre 2024; cfr. consid. 1.4.; 1.7.), il TCA rileva che, siccome la riduzione di fr. 100.-, da un lato, è inferiore al 30% del forfait di mantenimento che per il 2024 corrispondeva a fr. 1’577.- mensili per una persona sola (cfr. p.to F.2. cpv. 2 delle linee guida CSIAS; consid. 2.8.; Direttive riguardanti gli importi delle prestazioni assistenziali per il 2024 , BU 41/2023 del 22 dicembre 2023 pag. 416; STCA 42.2024.48-49 del 31 marzo 2025 consid. 2.13., non ancora cresciuta in giudicato e citata sopra; STCA 42.2022.98 del 24 aprile 2023 consid. 2.13.), dall’altro, è conforme a quanto previsto dalla giurisprudenza federale e cantonale (cfr. consid. 2.10.), come pure a quanto contemplato nella Disposizione dell’USSI relativa alle sanzioni valida dal 1° settembre 2021 alle pag. 6 e 11 per chi fa un uso improprio delle prestazioni assegnategli ex art. 9a lett. b Reg.Las (e meglio che tale comportamento è ritenuto di grado lieve e comporta una sanzione di importo pari a fr. 100.-), il suo ammontare rispetta il principio della proporzionalità e non presta fianco a critiche. Relativamente alla durata della penalità, questa Corte, per contro, ritiene, tutto ben ponderato, considerati gli specifici elementi del caso in esame - in particolare la situazione di seria difficoltà finanziaria a cui era confrontata la ricorrente nel mese di agosto 2024 (cfr. STCA 42.2024.54-55 del 28 aprile 2025 consid. 2.7.) - e quanto enunciato al p.to F.2. cpv. 5 delle linee guida CSIAS, nonché nelle relative spiegazioni circa il fatto di tenere conto delle ripercussioni di una riduzione sui bambini e sui giovani (cfr. consid. 2.8.), che la durata di tre mesi (benché prevista in modo generico dalla Disposizione dell’USSI relativa alle sanzioni valida dal 1° settembre 2021, pag. 11, per comportamenti di grado lieve) in casu sia eccessiva. Al riguardo va ribadito che il giudice tiene conto delle direttive amministrative - che non sono norme giuridiche - se consentono un’interpretazione delle disposizioni legali giustificata nel caso di specie; cfr. consid. 2.9. Nella presente evenienza si rivela più conforme al principio di proporzionalità (cfr. STF 8C_38/2012 del 10 aprile 2012 consid. 1.2.; DTF 123 V 150) applicare una sanzione di fr. 100.-- per un mese.</w:t>
      </w:r>
    </w:p>
    <w:p>
      <w:r>
        <w:rPr>
          <w:b/>
        </w:rPr>
        <w:t>E. 4</w:t>
      </w:r>
    </w:p>
    <w:p>
      <w:r>
        <w:t>Di norma, una volta soddisfatte le condizioni, le riduzioni ivi riferite devono essere abrogate. In caso di manchevolezze ripetute e gravi, le riduzioni possono essere mantenute fino alla decorrenza dei relativi termini.</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Devono essere prese in considerazione le ripercussioni di una riduzione sui bambini e sui giovani.</w:t>
      </w:r>
    </w:p>
    <w:p>
      <w:r>
        <w:rPr>
          <w:b/>
        </w:rPr>
        <w:t>E. 6</w:t>
      </w:r>
    </w:p>
    <w:p>
      <w:r>
        <w:t>In caso di concomitanza di una sanzione e di una restituzione, non deve essere superata la riduzione massima del FM, pari al 30%.” Dalle relative spiegazioni, in merito alla motivazione delle sanzioni, si evince: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La riduzione deve essere proporzionata alla manchevolezza, sia in ottica personale che in ottica materiale e temporale: - devono essere prese in considerazione le ripercussioni sulle persone coinvolte facenti parte dell’unità di riferimento, in particolare sui bambini e sui giovani adulti; - nella determinazione della misura della riduzione si deve prestare attenzione all’entità della manchevolezza. La riduzione massima del 30% del forfait di mantenimento è ammessa solo in caso di manchevolezze ripetute e gravi. Un motivo che giustifica la necessità di esaminare accuratamente l’adeguatezza delle sanzioni risiede nel fatto che gli importi dell’aiuto sociale sono misurati. Il minimo esistenziale sociale garantito dall’aiuto sociale è inferiore sia a quello per la commisurazione delle prestazioni complementari all’AVS e all’AI, sia all’importo di base raccomandato dalla Conferenza degli ufficiali di esecuzione e fallimenti della Svizzera per il calcolo del minimo esistenziale ai sensi della legislazione in materia di esecuzione e fallimento. L’aiuto sociale può pertanto essere ridotto di una determinata percentuale solo in casi motivati e a tempo determinato.” 2.9.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2.10.  A proposito della riduzione di prestazioni assistenziali, si rileva che nel caso di una persona alla quale è stato ridotto il reddito di inserimento del 15% per tre mesi, in quanto non si era sforzata a sufficienza per ritrovare una propria autonomia economica, il Tribunale federale, con sentenza 8C_320/2011 del 9 gennaio 2012, ha osservato: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