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42.2023.6 vom 17. April 2023</w:t>
      </w:r>
    </w:p>
    <w:p>
      <w:r>
        <w:t>TI Tribunale d'appello, 2023-04-17, IT</w:t>
      </w:r>
    </w:p>
    <w:p>
      <w:r>
        <w:rPr>
          <w:b/>
        </w:rPr>
        <w:t xml:space="preserve">Quelle: </w:t>
      </w:r>
      <w:r>
        <w:t>https://mcp.opencaselaw.ch/entscheid/ti_gerichte_42.2023.6</w:t>
      </w:r>
    </w:p>
    <w:p>
      <w:r>
        <w:t>FR: TI_GERICHTE 42.2023.6 du 17 avril 2023</w:t>
      </w:r>
    </w:p>
    <w:p>
      <w:r>
        <w:t>IT: TI_GERICHTE 42.2023.6 del 17 aprile 2023</w:t>
      </w:r>
    </w:p>
    <w:p>
      <w:pPr>
        <w:pStyle w:val="Heading2"/>
      </w:pPr>
      <w:r>
        <w:t>Erwägungen</w:t>
      </w:r>
    </w:p>
    <w:p>
      <w:r>
        <w:rPr>
          <w:b/>
        </w:rPr>
        <w:t>E. 000</w:t>
      </w:r>
    </w:p>
    <w:p>
      <w:r>
        <w:t>franchi; questa condizione vale per analogia anche se hanno avviato l’attività dopo il 2019; se l'attività non è stata svolta per un anno intero, questa condizione va adempiuta in proporzione alla durata dell'attività.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w:t>
      </w:r>
    </w:p>
    <w:p>
      <w:r>
        <w:rPr>
          <w:b/>
        </w:rPr>
        <w:t>E. 2</w:t>
      </w:r>
    </w:p>
    <w:p>
      <w:r>
        <w:t>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Dal 1° gennaio 2023 l’Ordinanza COVID-19 perdita di guadagno è stata abrogata. 2.4.  Nel caso di specie la Cassa di compensazione ha ritenuto adempiute due delle tre condizioni poste dall’art. 2 cpv. 3 bis dell’Ordinanza COVID-19 perdita di guadagno, ossia un reddito soggetto all’AVS per l’anno 2019 di almeno fr. 10'000 e una considerevole diminuzione della cifra d’affari (cfr. allegato doc. 4, decisione formale del 6 ottobre 2022). L’amministrazione ha tuttavia rifiutato il diritto alle indennità giornaliere per i mesi di novembre 2020 e dicembre 2020 poiché la società ricorrente avrebbe versato il salario al proprio socio e presidente della gerenza e di conseguenza non sarebbe stata adempiuta la terza condizione, e meglio quella della perdita salariale. Sennonché, come ammesso dalla Cassa con gli scritti dell’8 marzo 2023 (doc. XI) e del 16 marzo 2023 (doc. XIII), dalla documentazione prodotta il 28 febbraio 2023 emerge che in quel periodo la società non ha versato il salario al suo dipendente. Dai conteggi salariali relativi ai mesi litigiosi si evince infatti che a RI 2 è stato erogato unicamente l’assegno di formazione di fr. 250 (doc. T ed U; cfr. anche doc. R) e che la Cassa __________ aveva riconosciuto le prestazioni sulla base della documentazione allegata (cfr. doc. R, doc. I e L; cfr. anche doc. S). In queste condizioni, rammentato che con la decisione su opposizione del 3 febbraio 2023 la Cassa ha riesaminato la decisione su opposizione impugnata e riconosciuto il diritto a prestazioni per il mese di gennaio 2022, in accoglimento del ricorso, il punto 1.1 della citata decisione su opposizione va modificato nel senso che la richiesta di IPG Corona in favore di RI 2 per i mesi di novembre 2020 e dicembre 2020 è accolta e l’incarto va rinviato alla Cassa affinché calcoli l’importo delle prestazioni cui ha diritto RI 2 (sull’importo massimo delle indennità cfr. art. 5 cpv. 3 Ordinanza COVID-19 perdita di guadagno nel tenore in vigore fino al 31 dicembre 2022 e marginale 1060 della Circolare sull’indennità in caso di provvedimenti per combattere il coronavirus – Indennità di perdita di guadagno per il coronavirus [CIC]; cfr. anche STCA 42.2021.64 del 20 dicembre 2021, consid. 2.4). 2.5.  I ricorrenti chiedono l’assunzione di numerose prove. Alla luce dell’esito del ricorso, a loro favorevole, il TCA rinuncia ad assumere ulteriori prove.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2.6.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Cassa afferma che i ricorrenti non hanno diritto alle ripetibili poiché non è mai stata in possesso dei documenti T e U che giustificano l’accoglimento del ricorso e che sono stati prodotti solo il 28 febbraio 2023. Tali documenti potevano essere allegati già in sede di opposizione senza far capo ad un legale. A torto. Infatti, dalle tavole processuali emerge che la Cassa __________ aveva già riconosciuto il diritto alle prestazioni per i mesi di novembre e dicembre 2020 (doc. R, V e Z, cfr. anche doc. 5, pag. 2). Se la Cassa CO 1 avesse da subito richiamato l’intero incarto dalla Cassa __________ avrebbe accolto immediatamente le richieste dei ricorrenti o avrebbe potuto chiedere ulteriori delucidazioni alla Cassa __________ in merito. Infatti, come rammenta la giurisprudenza federale (cfr. sentenza 9C_765/2009 del 28 maggio 2010, consid. 8.3), gli accertamenti incombono in primo luogo all’amministrazione in forza dell’obbligo derivante dall’art. 43 cpv. 1 LPGA, secondo il quale l’assicuratore esamina le domande, intraprende d’ufficio i necessari accertamenti e raccoglie le informazioni di cui ha bisogno (cfr. anche sentenza 8C_412/2019 del 9 luglio 2020 consid. 5.4. e STCA 30.2020.9 del 22 febbraio 2021). Del resto la necessità del ricorso è comprovata dal fatto che per il mese di gennaio 2022 la Cassa ha modificato la propria decisione su opposizione solo dopo l’inoltro dell’impugnativa del 23 gennaio 2023 (sul tema cfr. Ueli Kieser , Kommentar zum Bundesgesetz über den Allgemeinen Teil des Sozialversicherungsrechts, ATSG, 4a edizione, 2020, n. 224 ad art. 61, pag. 1133). Ai ricorrenti vanno di conseguenza riconosciute le ripetibili. 2.7.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