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42.2023.45 vom 21. Februar 2024</w:t>
      </w:r>
    </w:p>
    <w:p>
      <w:r>
        <w:t>TI Tribunale d'appello, 2024-02-21, IT</w:t>
      </w:r>
    </w:p>
    <w:p>
      <w:r>
        <w:rPr>
          <w:b/>
        </w:rPr>
        <w:t xml:space="preserve">Quelle: </w:t>
      </w:r>
      <w:r>
        <w:t>https://mcp.opencaselaw.ch/entscheid/ti_gerichte_42.2023.45</w:t>
      </w:r>
    </w:p>
    <w:p>
      <w:r>
        <w:t>FR: TI_GERICHTE 42.2023.45 du 21 février 2024</w:t>
      </w:r>
    </w:p>
    <w:p>
      <w:r>
        <w:t>IT: TI_GERICHTE 42.2023.45 del 21 febbraio 2024</w:t>
      </w:r>
    </w:p>
    <w:p>
      <w:pPr>
        <w:pStyle w:val="Heading2"/>
      </w:pPr>
      <w:r>
        <w:t>Erwägungen</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w:t>
      </w:r>
    </w:p>
    <w:p>
      <w:r>
        <w:rPr>
          <w:b/>
        </w:rPr>
        <w:t>E. 6</w:t>
      </w:r>
    </w:p>
    <w:p>
      <w:r>
        <w:t>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2.6.  Nell’ambito dell’assistenza sociale, come visto (cfr. consid. 2.3.),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e le linee guida CSIAS p.to A.3. relativo alla sussidiarietà e le relative spiegazioni. 2.7.  Nella presente evenienza l’USSI, con decisione su reclamo del 2 novembre 2023 (cfr. doc. A1), ha confermato quanto deciso l’8 maggio 2023 (cfr. doc. 140-144; consid. 1.2.), ossia il riconoscimento a favore del ricorrente di una prestazione assistenziale ordinaria di fr. 425.-- per il mese di maggio 2023. L’amministrazione ha computato, in relazione alla sua unità di riferimento (composta del medesimo, della moglie e dei figli __________, nato il __________ 2008, e __________, nata il __________ 2013; cfr. tabella allegata a doc. A1), in particolare l’ammontare di fr. 34’448.-- a titolo di reddito computabile Las annuo, costituito dal reddito del lavoro di fr. 8'640.-- (reddito da attività dipendente del contribuente di fr. 10'800 – franchigia di fr. 2'160), dai redditi della sostanza di fr. 19'808.-- (valore locativo della propria abitazione di fr. 11'213.--, pigioni e affitti nel comune di domicilio di fr. 3'631.-- e pigioni o valore locativo in altri comuni, cantoni o nazioni di fr. 4'964.--) e da altri redditi di fr. 6'000.-- (AF base di fr. 4'800 e ogni altro reddito pari a fr. 1'200.--; cfr. tabella allegata a doc. A). A titolo di sostanza immobiliare abitazione primaria e di altra sostanza non è, per contro, stato conteggiato alcunché, visto che gli importi del debito ipotecario sull’abitazione primaria e dei debiti privati diversi dal debito ipotecario sull’abitazione primaria sono maggiori del valore di queste (cfr. tabella allegata a doc. A1). Dal calcolo della parte resistente non risulta alcun reddito disponibile residuale (cfr. art. 18, 22 Las), quanto piuttosto un disavanzo di fr. 13’691.-- annui [ reddito computabile Las di fr. 34'448.-- (pari a fr. 2'870.-- circa al mese) – spesa computabile Las di fr. 48’139.-- (fr. 11'213 spesa alloggio + fr. 15'974 premi assicurazione malattia Las + fr. 19'808 altre spese computabili Las: spese di gestione manutenzione di fondi, interessi ipotecari per l’abitazione primari e interessi passivi privati diversi da interessi ipotecari per l’abitazione primaria); fr. 4’011.-- al mese; cfr. tabella allegata a doc. A1]}, equivalente a circa fr. 1’141.-- al mese. La soglia di intervento per il 2023 della famiglia del ricorrente è, inoltre, pari a fr. 2'206.-- al mese (cfr. tabella allegata a doc. A1; consid. 2.4.). L’USSI, tenendo conto di altre prestazioni Laps dell’unità di riferimento per complessivi fr. 2’921.-- mensili, costituite dal sussidio cassa malati RIPAM di fr. 1'331.-- e dall’assegno integrativo per i figli di fr. 1’590.--, ha quindi riscontrato per il mese di maggio 2023 una lacuna di reddito di fr. 426.-- (cfr. tabella allegata a doc. A1), corrispondente, giusta l’art. 18 Las (cfr. consid. 2.4.), al disavanzo del reddito residuale sommato alla soglia di intervento e dedotte le prestazioni Laps percepite (fr. 1'141 + fr. 2'206 – fr. 2'921). Conseguentemente l’amministrazione ha attribuito all’insorgente, per il mese di maggio 2023, una prestazione assistenziale ordinaria di fr. 425.--, come si evince dal conteggio annesso alla decisione su reclamo del 2 novembre 2023, in cui è stato precisato che “eventuali differenze fra le prestazioni qui calcolate e quelle assegnate sono dovute ad arrotondamenti” (cfr. tabella allegata a doc. A1). 2.8.  RI 1 ha contestato il calcolo effettuato dall’USSI, segnatamente il computo della somma di fr. 1'200.-- annui a titolo di “ogni altro reddito”, facendo valere, da un lato, che l’accredito di fr. 100.-- effettuato il 21 aprile 2023 da __________, figlia della moglie, sarebbe intervenuto quale aiuto finanziario alla famiglia a seguito del mancato versamento della prestazione da parte di USSI, dall’altro, che l’importo è stato restituito alla giovane (cfr. doc. I; consid. 1.4.). In proposito giova rilevare, come visto sopra (cfr. consid. 2.3.; 2.6.), che l’aiuto sociale è sussidiario in rapporto segnatamente alle prestazioni volontarie da parte di terzi. Il principio della sussidiarietà non esclude d’altronde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Cfr. STF 8C_42/2013 del 15 ottobre 2013 citata al consid. 2.6.).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42.2023.8 del 24 aprile 2023 consid. 2.6.; STCA 42.2019.39-40 del 27 aprile 2020 consid. 2.15.; STCA 42.2016.29 del 4 maggio 2017 consid. 2.6.; STCA 42.2015.14 del 16 febbraio 2016 consid. 2.8.; STCA 42.2012.4 del 19 luglio 2012; 42.2011.30 dell’11 luglio 2012). È vero che con STF 42/2023 del 22 dicembre 2023 consid. 7.2., già menzionata al consid. 2.6., l’Alta Corte ha evidenziato: " (…)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si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(GUIDO WIZENT, 2014, p. 261 et 438 et les références;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Die sozialhilferechtliche Bedürftigkeit, op. cit., p. 264), les limites (notamment concernant la prise en charge des loyers et du forfait d'entretien) étant également applicables dans ces constellations (arrêt 8C_21/2022 déjà cité, consid. 6.1).” È altrettanto vero, tuttavia, che in concreto l’ammontare di fr. 100.-- è stato corrisposto il 21 aprile 2023 (cfr. doc. A3), ovvero posteriormente alla decisione dell’11 aprile 2023 con la quale l’USSI ha riconosciuto all’insorgente una prestazione assistenziale di fr. 1'150.-- per il mese di aprile 2023 (cfr. doc. 124-128; inc. 42.2023.44). Nel caso di specie, perciò, non si è confrontati con un prestito effettuato per far fronte alle carenze dell’autorità competente che non eroga tempestivamente le prestazioni necessarie per provvedere al sostentamento del richiedente l’assistenza sociale, al quale non deve, ad ogni modo, essere attribuibile il ritardo nell’emanazione della decisione in questione. Ne discende che a ragione l’USSI ha considerato, ai fini del conteggio della prestazione assistenziale ordinaria del mese di maggio 2023, l’importo di fr. 100.-- nei redditi del ricorrente (cfr. tabella allegata a doc. A1). La prassi dell’assistenza sociale di tenere conto di un reddito corrisposto a fine mese per il mese successivo, a meno che sia stato utilizzato immediatamente per pagare le fatture ancora scoperte del mese in cui è stato versato (cfr. STCA 42.2023.25 del 14 agosto 2023 consid. 2.8.; STCA 42.2022.28 del 12 settembre 2022 consid. 2.9. e 2.10.; STCA 42.2021.46 del 16 agosto 2021 consid. 2.5.; STCA 42.2013.27 del 17 luglio 2014 consid. 2.9.; STCA 42.2011.8 del 24 agosto 2011; STCA 42.2007.4 del 1° ottobre 2007), è stata peraltro avallata dal Tribunale federale in una sentenza 8C_648/2018 del 7 gennaio 2019 relativa a un caso del Cantone Basilea Città (ordine di restituzione di prestazioni assistenziali di febbraio e marzo 2017 a seguito del computo di un reddito lavoro versato alla ricorrente il 24 gennaio 2017). In casu è irrilevante sapere se la somma di fr. 100.-- sia servita all’insorgente per far fronte effettivamente a determinate spese del mese successivo al versamento, ossia del mese di maggio 2023, oppure per provvedere già ai costi del mese di aprile 2023, poiché in quest’ultima evenienza l’ammontare sarebbe sì da stralciare dal calcolo di maggio 2023, ma nel contempo da inserire nel conteggio di aprile 2023 (cfr. inc. 42.2023.44). Per inciso è utile osservare che rettamente l’USSI, nel calcolo per stabilire l’importo della prestazione assistenziale mensile spettante al ricorrente per il mese di maggio 2023, ha considerato i redditi riportati su base annua - fra i quali l’ammontare di fr. 100.-- ricevuto da __________ per fr. 1'200.-- annui -, per poi dividerli per</w:t>
      </w:r>
    </w:p>
    <w:p>
      <w:r>
        <w:rPr>
          <w:b/>
        </w:rPr>
        <w:t>E. 12</w:t>
      </w:r>
    </w:p>
    <w:p>
      <w:r>
        <w:t>mesi (cfr. tabella allegata a doc. A1; STCA 39.2020.3 del 9 settembre 2020; STCA 39.2017.16 del 7 maggio 2018; STCA 39.2017.15 del 31 agosto 2017; STCA 39.2004.11 del 27 aprile 2005). 2.9.  Per quanto attiene alla censura ricorsuale riguardante il conteggio del reddito della sostanza di fr. 4'964.-, corrispondente al valore locativo della casa di sua proprietà sita in Italia a __________, frazione del Comune di __________, provincia di __________ (cfr. doc. I; consid. 1.4.), va osservato che l’USSI ha conteggiato il valore locativo della casa in Italia in fr. 4'964.--, applicando la Direttiva Laps 1/2019 secondo cui il valore di reddito di un immobile estero è pari al 6% del valore di stima (cfr. doc. 86). Siccome il valore di stima catastale del fondo n. __________ di __________ r i s u l t a e ss e re di complessivi fr. 8 2'736 . -- (cfr. doc. 85; 102), l’amministrazione ha tenuto conto di un valore locat i vo pari a fr. 4'964 .-- (82'73 6 .-/100 x 6; cfr. doc. A1 pag. 7; consid. 1.3.) . Il ricorrente non ha sollevato obiezioni in relazione specificatamente all’entità dell’importo del valore locativo stabilito dalla parte resistente (cfr. doc. I; V), quanto piuttosto riguardo al computo in sé di tale voce, asserendo che, dalla proprietà di __________, essendo pignorata da tempo (una richiesta di messa all’asta dell’immobile sarebbe depositata per conto della banca creditrice presso il Tribunale di __________) e quindi non potendone disporre, non riceve alcun beneficio. La stessa, secondo l’insorgente, non produrrebbe, dunque, alcun reddito locativo (cfr. doc. I; V). Dalle carte processuali emerge, in effetti, che il Tribunale di __________, il 4 giugno 2021, ha emesso un atto di precetto con il quale ha intimato a RI 1 e alla moglie di pagare alla __________ entro 10 giorni Euro 242'435.57 (Euro 241'844.63 di mutuo fondiario concesso loro nell’ottobre 2016 in relazione al fondo __________, le cui rate non sono state pagate dal 30 luglio 2017 + Euro 405 per la stesura atto di precetto + Euro 185.94 di spese generali), oltre interessi come da contratto, “con avvertimento che non provvedendo si procederà ad esecuzione forzata anche immobiliare” (cfr. doc. 93-97). In un messaggio di posta elettronica del 3 gennaio 2024 __________ della GI__________ ha, altresì, informato il ricorrente di avere “la necessità di effettuare un accesso in __________ per consentire la visione dei locali ai richiedenti la visione” , precisando che “verrà il collega Sig. __________, che ha già conosciuto, il giorno 11/01/2024 alle ore 12.30. Mi può confermare la presenza sua o di qualcuno che può aprire i locali?” (cfr. doc. V3). L’insorgente, l’11 gennaio 2024, ha in particolare risposto che “non so se ci sarà qualcuno presso la casa di __________ dove dopo il vostro intervento gli inquilini mi hanno comunicato di aver ricevuto ordine da parte vostra di non farmi più entrare nell’abitazione ” e che “io avrei a tal proposito un mio conoscente interessato a prendere in considerazione l’acquisto dello stabile ma gli inquilini mi snobbano e, tra l’altro, non stanno nemmeno pagando i vari allacci di acqua potabile, ecc. che pervengono al mio indirizzo ”. Il ricorrente ha, poi, chiesto a __________ “un’attestazione che stabilisce che lo stabile è interessato alla vendita giudiziaria in quanto l’autorità elvetica continua a sostenere che sia nelle mie disponibilità non avendo ricevuto alcun documento ufficiale nel quale appare confiscato in attesa di vendita all’asta” (cfr. doc. V4). Il TCA rileva, tuttavia, che tale documento da parte di __________ non figura all’inserto, come nemmeno un atto emesso nei confronti dell’insorgente con l’indicazione esatta del bene immobiliare destinato a esecuzione forzata e l’ingiunzione al debitore di astenersi a partire da una determinata data dal compiere qualunque atto diretto a sottrarre alla garanzia del credito i beni oggetto di espropriazione e i relativi frutti (cfr. art. 555 e 492 del Codice di procedura civile della Repubblica italiana, Libro III “Del processo di esecuzione”, Titolo II “Dell’espropriazione forzata). Gli elementi di cui dispone questa Corte non permettono, dunque, di giungere a chiare conclusioni circa la capacità (o incapacità) del ricorrente di disporre del bene immobiliare, né forniscono una risposta al quesito di sapere se il creditore pignoratizio abbia preteso che il diritto di pegno fosse esteso ai crediti per pigioni con la conseguenza che il pagamento delle pigioni avviene direttamente all’autorità competente. Ne discende che nel caso di specie si impone un complemento istruttorio per stabilire, con la collaborazione di RI 1, se quest’ultimo, nel mese di maggio 2023, potesse o meno disporre ancora del suo immobile all’estero, a __________, e in che misura. Il d 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In concreto si giustifica, pertanto, l’annullamento della decisione su reclamo del 2 novembre 2023 e il rinvio degli atti all’USSI per effettuare ulteriori accertamenti. Sulla base dell’esito delle verifiche svolte l’amministrazione effettuerà un nuovo calcolo volto a determinare la prestazione assistenziale ordinaria spettante al ricorrente nel mese di maggio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