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42.2023.44 vom 21. Februar 2024</w:t>
      </w:r>
    </w:p>
    <w:p>
      <w:r>
        <w:t>TI Tribunale d'appello, 2024-02-21, IT</w:t>
      </w:r>
    </w:p>
    <w:p>
      <w:r>
        <w:rPr>
          <w:b/>
        </w:rPr>
        <w:t xml:space="preserve">Quelle: </w:t>
      </w:r>
      <w:r>
        <w:t>https://mcp.opencaselaw.ch/entscheid/ti_gerichte_42.2023.44</w:t>
      </w:r>
    </w:p>
    <w:p>
      <w:r>
        <w:t>FR: TI_GERICHTE 42.2023.44 du 21 février 2024</w:t>
      </w:r>
    </w:p>
    <w:p>
      <w:r>
        <w:t>IT: TI_GERICHTE 42.2023.44 del 21 febbraio 2024</w:t>
      </w:r>
    </w:p>
    <w:p>
      <w:pPr>
        <w:pStyle w:val="Heading2"/>
      </w:pPr>
      <w:r>
        <w:t>Erwägungen</w:t>
      </w:r>
    </w:p>
    <w:p>
      <w:r>
        <w:rPr>
          <w:b/>
        </w:rPr>
        <w:t>E. 2</w:t>
      </w:r>
    </w:p>
    <w:p>
      <w:r>
        <w:t>della Legge fissa il principio della sussidiarietà dell'assistenza e prevede al cpv. 1 che " le prestazioni assistenziali secondo questa legge sono complementari o suppletorie a quelle della previdenza, delle assicurazioni sociali e delle misure contro la disoccupazione previste da altre leggi cantonali ". Il cpv. 2 precisa che " in particolare le prestazioni assistenziali propriamente dette di tipo finanziario vengono concesse solo una volta esaurite le altre prestazioni sociali previste dalla Legge sull'armonizzazione e il coordinamento delle prestazioni sociali del 5 giugno 2000 (art. 13 Laps) ". 2.4.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w:t>
      </w:r>
    </w:p>
    <w:p>
      <w:r>
        <w:rPr>
          <w:b/>
        </w:rPr>
        <w:t>E. 2.9</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42.2022.7 del 23 maggio 2022; STCA 42.2022.14 dell’11 maggio 2022; STCA 42.2022.3+9 del 30 marzo 2022).</w:t>
      </w:r>
    </w:p>
    <w:p>
      <w:r>
        <w:rPr>
          <w:b/>
        </w:rPr>
        <w:t>E. 3</w:t>
      </w:r>
    </w:p>
    <w:p>
      <w:r>
        <w:t>persone 1'871.--</w:t>
      </w:r>
    </w:p>
    <w:p>
      <w:r>
        <w:rPr>
          <w:b/>
        </w:rPr>
        <w:t>E. 4</w:t>
      </w:r>
    </w:p>
    <w:p>
      <w:r>
        <w:t>persone 2'153.--</w:t>
      </w:r>
    </w:p>
    <w:p>
      <w:r>
        <w:rPr>
          <w:b/>
        </w:rPr>
        <w:t>E. 5</w:t>
      </w:r>
    </w:p>
    <w:p>
      <w:r>
        <w:t>non viene computata per ogni membro dell’unità di riferimento una quota pari al 20% del reddito da lavoro (franchigia) fino ad un massimo di 500 franchi al mese; per gli apprendisti la quota del reddito da lavoro non computata ammonta a 500 franchi al mese . b) Spesa vincolata: 1. non vengono computati rendite e oneri permanenti (art. 8 cpv. 1 lett. c) Laps); 2. non vengono computati gli alimenti di cui all’art. 8 cpv. 1 lett. d) Laps; 3. non vengono computate le imposte di cui all’art. 8 cpv. 1 lett. j) Laps; 4. le spese e gli interessi passivi sui debiti privati vengono riconosciuti solo fino all’importo complessivo dei redditi della sostanza contemplati dagli art. 19 e 20 della LT (deroga all’art. 8, cpv. 2, lett. a) Laps). c) Spesa per l’alloggio: Per il calcolo della spesa per l’alloggio viene considerato l’affitto maggiorato delle spese accessorie effettive fino al massimale previsto dall’art. 9 Laps .”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w:t>
      </w:r>
    </w:p>
    <w:p>
      <w:r>
        <w:rPr>
          <w:b/>
        </w:rPr>
        <w:t>E. 6</w:t>
      </w:r>
    </w:p>
    <w:p>
      <w:r>
        <w:t>Laps regolamenta così il reddito computabile: “1. Il reddito computabile è costituito dai seguenti redditi: a) i redditi ai sensi degli art. 15-22 della legge tributaria del 21 giugno 1994 (LT), ad esclusione dei redditi imposti separatamente in virtù degli art. 36 cpv. 1 e 38 cpv. 1 della LT; non viene computata per ogni membro dell’unità di riferimento una quota pari al 20% del proprio reddito da lavoro (franchigia) fino ad un massimo di 500 franchi al mese;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netta, nella misura in cui supera CHF 100’000.- per l’abitazione primaria e, per le altre forme di sostanza, CHF 10’000.- per una persona sola, CHF 20’000.- per una coppia (coniugi o partner registrati o conviventi) e CHF 2’000.- per ogni figlio minorenne o maggiorenne non economicamente indipendente facente parte dell’unità di riferimento. 2. Fanno parte dei redditi computabili le entrate e le parti di sostanza, mobiliare e immobiliare, alle quali il richiedente ha rinunciato. 3. Non sono considerati redditi le prestazioni sociali ai sensi della presente legge. 4. Il Consiglio di Stato determina in quale misura vanno computati i redditi dei minorenni.” La spesa computabile è, invece, costituita dalla somma delle spese vincolate e dalla spesa per l’alloggio (art. 7 Laps). Ai sensi dell'art. 8 Laps: “1.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effettivi per l’assicurazione obbligatoria contro le malattie, ma al massimo fino al raggiungimento dell’importo del premio medio di riferimento ai sensi della legge di applicazione della legge federale sull’assicurazione malattie del 26 giugno 1997 (LCAMal); h) i premi per l’assicurazione della perdita di guadagno in caso di malattia o in caso di infortunio delle persone non obbligatoriamente assicurate . i) ...; j) … 2.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 L'art.</w:t>
      </w:r>
    </w:p>
    <w:p>
      <w:r>
        <w:rPr>
          <w:b/>
        </w:rPr>
        <w:t>E. 9</w:t>
      </w:r>
    </w:p>
    <w:p>
      <w:r>
        <w:t>Laps riguarda la spesa per l'alloggio: " 1. La spesa per l’alloggio è computata fino ad un massimo di: a) per le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2. Se una persona che non fa parte dell’unità di riferimento convive con uno dei suoi membri, dalla spesa per l’alloggio viene dedotta la quota-parte imputabile al convivente." 2.6.  Nell’ambito dell’assistenza sociale, come visto (cfr. consid. 2.3.), vige il principio di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8C_708/2018 del 26 marzo 2019 consid. 4.2.; STF 8C_100/2017 del 14 giugno 2017 consid. 8.1.; STFA K 22/04 del 22 ottobre 2004 consid. 2.3.1., pubblicata in RAMI 2005 pag. 30, DTF 137 V 143 consid. 3.7.1.; Disposizioni COSAS del 2005, aggiornate nel dicembre 2007, p.to A.4; C. Hänzi, Die Richtlinien der schweizerischen Konferenz für Sozialhilfe", Ed. Helbing Lichtenhahn, Basilea 2011 pag. 171-172; 114-115). Con sentenza STF 8C_56/2012 dell’11 dicembre 2012 consid. 3.1. l’Alta Corte ha stabilito che non esiste un diritto di opzione tra le fonti di aiuto prioritario. In particolare l’aiuto sociale è sussidiario in rapporto alle prestazioni legali di terzi come pure in rapporto alle prestazioni volontarie da parte di terzi. Nella STF 8C_42/2013 del 15 ottobre 2013 l’assistenza sociale è stata negata poiché il richiedente ha potuto far fronte alle sue spese non coperte dalle assicurazioni sociali e private tramite finanziamenti (prestiti) da parte di terzi. Con giudizio 8C_138/2016 del 6 settembre 2016 consid. 5.2.1., pubblicato in DTF 142 V 513, il Tribunale federale ha ribadito che secondo prassi il reddito netto complessivo da attività lavorativa dipendente o indipendente viene computato nel calcolo della prestazione assistenziale, come pure il reddito sostitutivo rappresentato dalle rendite AVS, AI, PC, dalle indennità di disoccupazione e da altre indennità giornaliere. Ciò in virtù del principio di sussidiarietà che è l’espressione della responsabilità individuale, secondo cui, prima di far capo all’assistenza sociale, vanno esaurite tutte le altre possibilità di reddito. Il TF, in un giudizio 2C_60/2022 del 27 dicembre 2022 consid. 4.5., ha poi sottolineato che, nonostante l’assistenza sociale e le prestazioni complementari presentino delle affinità poiché entrambe presuppongono l’indigenza del richiedente e sono finanziate da fondi pubblici, l’assistenza sociale è sussidiaria alle PC e serve a superare una condizione di bisogno. In una sentenza 8C_344/2019 del 15 novembre 2019 consid. 6.4., già citata sopra (cfr. consid. 2.6.), l’Alta Corte ha altresì osservato: " (…) l'aiuto sociale non deve essere parificato a qualsiasi assicurazione sociale, poiché esso ha natura sussidiaria e le prestazioni pecuniarie servono idealmente per superare situazioni di bisogno e non costituiscono una retribuzione minima e complementare a lungo termine. Si può quindi pretendere un'applicazione rigorosa del principio della sussidiarietà (in esteso si veda: HÄNZI, pag. 114 seg.) ancorato all'art. 2 Las/TI e dell'obbligo di ridurre il danno (…)” In una sentenza 8C_444/2019 del 4 marzo 2020, pubblicata in DTF 146 I 1, la nostra Massima Istanza ha rilevato che in virtù del principio di sussidiarietà un richiedente l’assistenza sociale deve far capo a tutte le proprie risorse, quali sostanza mobiliare (denaro, veicoli, oggetti di valore), immobili, crediti, titoli, assicurazioni vita, partecipazioni a società, quota parte di una successione indivisa, sempre che siano immediatamente disponibili o realizzabili a breve termine. In caso contrario, tuttavia, egli deve procedere alla rispettiva realizzazione il più celermente possibile. Quando ciò non è possibile entro un breve lasso di tempo, come in generale accade nel caso di un immobile, il richiedente potrà beneficiare di un aiuto da parte dello Stato che rimborserà non appena sarà realizzata la sostanza (consid. 8.2.2.; 9.3.). Al riguardo cfr. pure STF 8C_717/2022 del 7 giugno 2023 consid. 10.1.2 e le linee guida CSIAS p.to A.3. relativo alla sussidiarietà e le relative spiegazioni. 2.7.  Nella presente evenienza l’USSI, con decisione su reclamo del 31 ottobre 2023 (cfr. doc. A), ha confermato quanto deciso l’11 aprile 2023 (cfr. doc. 124-128; consid. 1.2.), ossia il riconoscimento a favore del ricorrente di una prestazione assistenziale ordinaria di fr. 1'150.-- per il mese di aprile 2023. L’amministrazione ha computato, in relazione alla sua unità di riferimento (composta del medesimo, della moglie e dei figli __________, nato il __________ 2008, e __________, nata il __________ 2013; cfr. tabella allegata a doc. A), in particolare l’ammontare di fr. 19'808.-- a titolo di redditi della sostanza, e meglio fr. 11'213.-- valore locativo della propria abitazione, fr. 3'631.-- pigioni e affitti nel comune di domicilio e fr. 4'964.-- pigioni o valore locativo in altri comuni, cantoni o nazioni (cfr. tabella allegata a doc. A). A titolo di sostanza immobiliare abitazione primaria e di altra sostanza non è, per contro, stato conteggiato alcunché, visto che gli importi del debito ipotecario sull’abitazione primaria e dei debiti privati diversi dal debito ipotecario sull’abitazione primaria sono maggiori del valore di queste (cfr. tabella allegata a doc. A). Dal calcolo della parte resistente non risulta alcun reddito disponibile residuale (cfr. art. 18, 22 Las), quanto piuttosto un disavanzo di fr. 22’387.-- annui { reddito computabile Las di fr. 24'608.-- [(fr. 19'808 redditi della sostanza + fr. 4'800 AF); fr. 2'050.-- circa al mese; cfr. tabella allegata a doc. A] – spesa computabile Las di fr. 46’995.-- [(fr. 11'213 spesa alloggio + fr. 15'974 premi assicurazione malattia Las + fr. 19'808 altre spese computabili Las: spese di gestione manutenzione di fondi, interessi ipotecari per l’abitazione primaria e interessi passivi privati diversi da interessi ipotecari per l’abitazione primaria; fr. 3'916.-- al mese]}, equivalente a fr. 1'865.50 al mese. La soglia di intervento per il 2023 della famiglia del ricorrente è, inoltre, pari a fr. 2'206.-- al mese (cfr. tabella allegata a doc. A; consid. 2.4.). L’USSI, tenendo conto di altre prestazioni Laps dell’unità di riferimento per complessivi fr. 2’921.-- mensili, costituite dal sussidio cassa malati RIPAM di fr. 1'331.-- e dall’assegno integrativo per i figli di fr. 1’590.--, ha quindi riscontrato per il mese di aprile 2023 una lacuna di reddito di fr. 1'151.-- (cfr. tabella allegata a doc. A), corrispondente, giusta l’art. 18 Las (cfr. consid. 2.4.), al disavanzo del reddito residuale sommato alla soglia di intervento e dedotte le prestazioni Laps percepite (fr. 1'865.50 + fr. 2'206 – fr. 2'921). Conseguentemente l’amministrazione ha attribuito all’insorgente, per il mese di aprile 2023, una prestazione assistenziale ordinaria di fr. 1'150.--, come si evince dal conteggio annesso alla decisione su reclamo del 31 ottobre 2023, in cui è stato precisato che “eventuali differenze fra le prestazioni qui calcolate e quelle assegnate sono dovute ad arrotondamenti” (cfr. tabella allegata a doc. A). 2.8.  RI 1 ha censurato il calcolo effettuato dall’USSI, segnatamente il computo del reddito della sostanza di fr. 4'964.-, corrispondente al valore locativo della casa di sua proprietà sita in Italia a __________, frazione del Comune di __________, provincia di __________ (cfr. doc. I; consid. 1.4.). L’USSI ha conteggiato il valore locativo della casa in Italia in fr. 4'964.--, applicando la Direttiva Laps 1/2019 secondo cui il valore di reddito di un immobile estero è pari al 6% del valore di stima (cfr. doc. 86). Siccome il valore di stima catastale del fondo n. __________ di __________ r i s u l t a e ss e re di complessivi fr. 8 2'736 . -- (cfr. doc. 85; 102), l’amministrazione ha tenuto conto di un valore locat i vo pari a fr. 4'964 .-- (82'73 6 .-/100 x 6; cfr. doc. A pag. 7; consid. 1.3.) . Il ricorrente non ha contestato tanto l’entità dell’importo del valore locativo stabilito dalla parte resistente (cfr. doc. I; V), quanto piuttosto il computo in sé di tale voce, facendo valere che, dalla proprietà di __________, essendo pignorata da tempo (una richiesta di messa all’asta dell’immobile sarebbe depositata per conto della banca creditrice presso il Tribunale di __________) e quindi non potendone disporre, non riceve alcun beneficio. La stessa, secondo l’insorgente, non produrrebbe, dunque, alcun reddito locativo (cfr. doc. I; V). Dalle carte processuali emerge, in effetti, che il Tribunale di __________, il 4 giugno 2021, ha emesso un atto di precetto con il quale ha intimato a RI 1 e alla moglie di pagare alla __________ entro 10 giorni Euro 242'435.57 (Euro 241'844.63 di mutuo fondiario concesso loro nell’ottobre 2016 in relazione al fondo __________, le cui rate non sono state pagate dal 30 luglio 2017 + Euro 405 per la stesura atto di precetto + Euro 185.94 di spese generali), oltre interessi come da contratto, “con avvertimento che non provvedendo si procederà ad esecuzione forzata anche immobiliare” (cfr. doc. 93-97). In un messaggio di posta elettronica del 3 gennaio __________ della __________ di __________ ha, altresì, informato il ricorrente di avere “la necessità di effettuare un accesso in __________ per consentire la visione dei locali ai richiedenti la visione” , precisando che “verrà il collega Sig. __________, che ha già conosciuto, il giorno 11/01/2024 alle ore 12.30. Mi può confermare la presenza sua o di qualcuno che può aprire i locali?” (cfr. doc. V3). L’insorgente, l’11 gennaio 2024, ha in particolare risposto che “non so se ci sarà qualcuno presso la casa di __________ dove dopo il vostro intervento gli inquilini mi hanno comunicato di aver ricevuto ordine da parte vostra di non farmi più entrare nell’abitazione ” e che “io avrei a tal proposito un mio conoscente interessato a prendere in considerazione l’acquisto dello stabile ma gli inquilini mi snobbano e, tra l’altro, non stanno nemmeno pagando i vari allacci di acqua potabile, ecc. che pervengono al mio indirizzo ”. Il ricorrente ha, poi, chiesto a __________ “un’attestazione che stabilisce che lo stabile è interessato alla vendita giudiziaria in quanto l’autorità elvetica continua a sostenere che sia nelle mie disponibilità non avendo ricevuto alcun documento ufficiale nel quale appare confiscato in attesa di vendita all’asta” (cfr. doc. V4). Il TCA rileva, tuttavia, che tale documento da parte di __________ non figura all’inserto, come nemmeno un atto emesso nei confronti dell’insorgente con l’indicazione esatta del bene immobiliare destinato a esecuzione forzata e l’ingiunzione al debitore di astenersi a partire da una determinata data dal compiere qualunque atto diretto a sottrarre alla garanzia del credito i beni oggetto di espropriazione e i relativi frutti (cfr. art. 555 e 492 del Codice di procedura civile della Repubblica italiana, Libro III “Del processo di esecuzione”, Titolo II “Dell’espropriazione forzata). Gli elementi di cui dispone questa Corte non permettono, dunque, di giungere a chiare conclusioni circa la capacità (o incapacità) del ricorrente di disporre del bene immobiliare, né forniscono una risposta al quesito di sapere se il creditore pignoratizio abbia preteso che il diritto di pegno fosse esteso ai crediti per pigioni con la conseguenza che il pagamento delle pigioni avviene direttamente all’autorità competente. Ne discende che nel caso di specie si impone un complemento istruttorio per stabilire, con la collaborazione di RI 1, se quest’ultimo, nel mese di aprile 2023, potesse o meno disporre ancora del suo immobile all’estero, a __________, e in che misura. Il d overe delle parti di collaborare all’istruzione della causa, che limita la portata del principio inquisitorio reggente la procedura nell’ambito delle assicurazioni sociali e dell’assistenza sociale, comprende infatti, in particolare, l'obbligo delle parti di apportare - ove ciò fosse ragionevolmente esigibile - le prove necessarie, avuto riguardo alla natura della disputa e ai fatti invocati (cfr. art. art. 43 cpv. 3 e 61 lett. c LPGA; art. 16 Lptca). In caso contrario le parti rischiano di dover sopportare le conseguenze della carenza di prove (cfr. STF 8C_307/2022 del 4 settembre 2023 consid. 6.2.1., destinata alla pubblicazione nella Raccolta ufficiale; STF 8C_693/2020 del 26 luglio 2021 consid. 4.1.; STF 8C_326/2019 dell’8 maggio 2020 consid. 4.4.; STF 8C_309/2015 del 21 ottobre 2015 consid. 6.2.; STF 9C_694/2014 del 1° aprile 2015 consid. 3.2.; STF 9C_978/2010 del 14 aprile 2011 consid. 4.1.; STFA C 107/04 del 9 giugno 2005 consid. 3; STFA P 36/00 del 9 maggio 2001 consid. 3; DTF 125 V 195 consid. 2 con riferimenti). In concreto si giustifica, pertanto, l’annullamento della decisione su reclamo del 31 ottobre 2023 e il rinvio degli atti all’USSI per effettuare ulteriori accertamenti. Sulla base dell’esito delle verifiche svolte l’amministrazione effettuerà un nuovo calcolo volto a determinare la prestazione assistenziale ordinaria spettante al ricorrente nel mese di aprile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