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42.2023.27 vom 5. Oktober 2022</w:t>
      </w:r>
    </w:p>
    <w:p>
      <w:r>
        <w:t>TI Tribunale d'appello, 2022-10-05, IT</w:t>
      </w:r>
    </w:p>
    <w:p>
      <w:r>
        <w:rPr>
          <w:b/>
        </w:rPr>
        <w:t xml:space="preserve">Quelle: </w:t>
      </w:r>
      <w:r>
        <w:t>https://mcp.opencaselaw.ch/entscheid/ti_gerichte_42.2023.27_d20221005</w:t>
      </w:r>
    </w:p>
    <w:p>
      <w:r>
        <w:t>FR: TI_GERICHTE 42.2023.27 du 5 octobre 2022</w:t>
      </w:r>
    </w:p>
    <w:p>
      <w:r>
        <w:t>IT: TI_GERICHTE 42.2023.27 del 5 ottobre 2022</w:t>
      </w:r>
    </w:p>
    <w:p>
      <w:pPr>
        <w:pStyle w:val="Heading2"/>
      </w:pPr>
      <w:r>
        <w:t>Regeste</w:t>
      </w:r>
    </w:p>
    <w:p>
      <w:r>
        <w:t>Negata prestazione assistenziale poiché, dopo aver concesso un'eccezione transitoria, a ragione l'amministrazione ha computato la sostanza immobiliare concludendo che vi è eccedenza reddito Las</w:t>
      </w:r>
    </w:p>
    <w:p>
      <w:pPr>
        <w:pStyle w:val="Heading2"/>
      </w:pPr>
      <w:r>
        <w:t>Erwägungen</w:t>
      </w:r>
    </w:p>
    <w:p>
      <w:r>
        <w:rPr>
          <w:b/>
        </w:rPr>
        <w:t>E. 1</w:t>
      </w:r>
    </w:p>
    <w:p>
      <w:r>
        <w:t>persona 1’006.--</w:t>
      </w:r>
    </w:p>
    <w:p>
      <w:r>
        <w:rPr>
          <w:b/>
        </w:rPr>
        <w:t>E. 2</w:t>
      </w:r>
    </w:p>
    <w:p>
      <w:r>
        <w:t>persone 1'539.--</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9 giugno 2023,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r>
        <w:rPr>
          <w:b/>
        </w:rPr>
        <w:t>E. 3</w:t>
      </w:r>
    </w:p>
    <w:p>
      <w:r>
        <w:t>persone 1'871.--</w:t>
      </w:r>
    </w:p>
    <w:p>
      <w:r>
        <w:rPr>
          <w:b/>
        </w:rPr>
        <w:t>E. 4</w:t>
      </w:r>
    </w:p>
    <w:p>
      <w:r>
        <w:t>persone 2'153.--</w:t>
      </w:r>
    </w:p>
    <w:p>
      <w:r>
        <w:rPr>
          <w:b/>
        </w:rPr>
        <w:t>E. 5</w:t>
      </w:r>
    </w:p>
    <w:p>
      <w:r>
        <w:t>Sulle prestazioni a titolo di indennità per torto morale o di indennità per menomazione dell’integrità sono accordate le seguenti quote esenti: a. fr. 30’000.00 per persona singola b. fr. 50’000.00 per coppia c. fr. 15’000.00 per ogni figlio minorenne d. tuttavia max. fr. 65’000.00 per unità di riferimento Spiegazioni a) Concetto di sostanza Nella sostanza computabile si annoverano, fra l’altro, le posizioni seguenti sulle quali una persona richiedente il sostegno ha un diritto di proprietà: · il denaro contante; · gli averi su conti bancari e postali; · gli averi in mezzi di pagamento elettronici; · le azioni, le obbligazioni e altre cartevalori; · i terreni e gli immobili (D.3.2); · i crediti; · i veicoli privati e altri oggetti di valore; · gli averi di previdenza da svincolare (D.3.3). Non si annoverano nella sostanza computabile i beni dichiarati impignorabili nella Legge federale sulla esecuzione e sul fallimento (art. 92 LEF). Vi si annoverano gli oggetti destinati all’uso personale, quali abiti, effetti personali, utensili di casa, mobili o altri oggetti, in quanto indispensabili a garantire una qualità minima di vita. b) Quote patrimoniali esenti Per rafforzare la responsabilità individuale, all’inizio del sostegno è riconosciuta una quota patrimoniale esente. Per la commisurazione del diritto al sostegno fa stato la sostanza disponibile il primo giorno del mese a partire dal quale è richiesto un sostegno. Per le prestazioni a titolo di indennità per torto morale o di indennità per menomazione dell’integrità si applicano norme particolari e quote esenti più elevate. Su tali prestazioni sono riconosciute delle quote esenti anche quando le medesime sono corrisposte durante un periodo di sostegno. Con l’ammontare della quota esente si tiene conto del fatto che gli aventi diritto hanno subito un danno immateriale, e conseguentemente è loro accordata una compensazione materiale. Le quote esenti fanno riferimento alle quote patrimoniali esenti prese in considerazione nel calcolo delle prestazioni complementari annue ai sensi della Legge federale sulle prestazioni complementari per la vecchiaia, i superstiti e l’invalidità (art. 11 cpv. 1 lett. c LPC). c) Valori patrimoniali non realizzabili a breve termine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d)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D.3.2. Proprietà fondiaria 1. La proprietà fondiaria in Svizzera e all’estero fa parte della sostanza ed è presa in considerazione nell’esame dei presupposti del diritto. Non sussiste nessun diritto alla sua conservazione. 2. È possibile rinunciare a una realizzazione se: a. un immobile è abitato dalla persona beneficiaria e se può alloggiarvi alle condizioni usuali di mercato o a condizioni ancora più favorevoli b. è prevedibile che il sostegno sarà erogato solo a breve o medio termine c. la prestazione di sostegno è di portata relativamente esigua; oppure d. a causa di una domanda insufficiente, potrebbe essere conseguito solo un ricavo troppo esiguo. 3. Qualora si rinunci alla realizzazione, la restituzione deve essere garantita mediante misure adeguate. Spiegazioni a) Proprietà fondiaria quale sostanza computabile Le persone che possiedono beni immobili non devono essere favorite rispetto alle persone che detengono valori patrimoniali sotto forma di conti di risparmio o titoli. Non sussiste pertanto nessun diritto alla conservazione della proprietà di abitazioni. b) Garanzia Se un aiuto è erogato nonostante la presenza di proprietà fondiaria, l’aiuto sociale è da ritenere corrisposto a titolo di anticipo. La restituzione di questo aiuto sociale corrisposto a titolo di anticipo può essere garantito mediante la costituzione di un pegno immobiliare (E.2.3)”. Al punto G.1. (“ Ulteriori contenuti dei manuali - Sostanza Principi e quote esenti ” ), alla voce “c) valori patrimoniali non realizzabili a breve termine”, le direttive dispongono quanto segue: "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Riguardo alla funzione delle disposizioni CSIAS, in dottrina, C. Hänzi (Die Richtlinien der schweizerischen Konferenz für Sozialhilfe". Ed. Helbing Lichtenhahn, Basilea 2011) rileva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 F 9C_536/2021 del 19 ottobre 2022 consid. 2.4.; STF 8C_769/2021 del 3 maggio 2022 consid. 3.3.; STF 8C_503/2021 del 18 novembre 2021 consid. 4.2.;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Nella presente fattispecie, il curatore del ricorrente censura l’operato dell’amministrazione facendo valere di avere sottoscritto in data 7 giugno 2023 un mandato di compravendita immobiliare per la quota di comproprietà di ½ del fondo di cui al mapp. __________ relativa al proprio pupillo e di aver “ esplorato un’eventuale progettualità dell’interessata [ndr: la sorella dell’insorgente, comproprietaria pure in ragione di ½ dell’immobile] di trasferirsi a vivere altrove. Ella ha manifestato un vago desiderio di trasferirsi in Italia, scevro di ogni concreta progettualità ” (cfr. supra consid. 1.3. e doc. I). Questo passo dovrebbe, secondo la tesi ricorsuale, fondare il diritto alle prestazioni Las anche per il periodo da ottobre 2022 a maggio 2023. RA 1 osserva, inoltre, che la decisione resa dall’USSI avrebbe causato altre difficoltà finanziarie a RI 1, il quale, escluso per il periodo oggetto del presente gravame dalla possibilità di ricevere le prestazioni assistenziali, si è visto negare la copertura dei costi inerenti le cure dentarie (cfr. supra consid. 1.3. e doc. I). Chiamato a pronunciarsi, il TCA condivide, però, l’operato dell’amministrazione che, dopo avere concesso al ricorrente (ed al suo curatore) le prestazioni Las non computando transitoriamente (e meglio per ben 9 mesi) la sua quota di comproprietà, da ottobre 2022 (a maggio 2023) ne ha, invece, tenuto conto nei propri calcoli volti alla determinazione delle prestazioni Las, che gli ha negato in ragione di un’eccedenza di reddito. Al riguardo va innanzitutto rilevato che con decisione del 9 novembre 2021 (cfr. doc. 367-369), l’USSI - come già era stato il caso per le PC postulate dall’interessato (cfr. supra consid. 2.5.) - aveva già negato al qui ricorrente il diritto alle prestazioni Las, ritenuto che, computando la sostanza di sua proprietà nel calcolo volto a stabilire se egli aveva, o meno, diritto alle prestazioni assistenziali, era emerso che il suo reddito disponibile residuale superava il limite annuo fissato dal Dipartimento della sanità e della socialità. Dopo che il 23 novembre 2021 RA 1, in rappresentanza di RI 1, aveva impugnato la predetta decisione (facendo valere che le uniche entrate del pupillo erano quelle relative alla rendita AVS, non avendo l’interessato diritto alle prestazioni complementari “ proprio a causa della presenza di sostanza immobiliare considerata come secondaria ”, di avere “ ben chiaro che occorre realizzare la vendita di questo immobile ”, ma che “ la sua realizzazione non è facile in quanto si tratta di una casa vecchia e inoltre occorre che la sorella dia il proprio consenso e trovi una nuova abitazione adeguata ”; cfr. doc. 46), il 13 dicembre 2021 il curatore - tra i cui compiti rientra, come visto, la gestione del patrimonio immobiliare - ha sottoscritto un “ impegno di vendita per la parte di sostanza eccedente la quota esente ”, e dopo aver presto atto che eccezioni al computo della sostanza netta, a norma dell’art. 22 lett. a Las, sono “ transitorie” e “ possono essere concesse in casi di rigore, segnatamente se la sostanza computabile nel reddito fosse difficilmente liquidabile ”, si è, in particolare, impegnato a: " Fare tutto il possibile per realizzare la sostanza; Tenere mensilmente informato l’Ufficio del sostegno sociale e dell’inserimento (USSI) circa i passi intrapresi in questo senso (comprovandoli); Informare costantemente e tempestivamente l’USSI di qualsiasi cambiamento relativo alla sostanza e alle pratiche relative all’ev. vendita.” (cfr. doc. 45). E’ sulla base dell’impegno sottoscritto da RA 1, che la resistente, oltre a riconoscere le prestazioni Las a RI 1 sin da settembre 2021, ha, poi, concesso al ricorrente, dapprima, un primo termine transitorio di sei mesi, poi un secondo di altri tre mesi, in cui non ha computato, nel calcolo volto a determinare il diritto alle prestazioni Las che gli ha conseguentemente erogato, la quota di comproprietà dell’immobile di cui al fondo __________, affinché questi, e per esso il curatore, si attivasse concretamente nella vendita dall’immobile o quantomeno della sua quota di comproprietà. Sennonché nei primi sei mesi concessigli, il curatore non ha concretamente apportato la prova di alcuno sforzo teso all’alienazione della quota di comproprietà. Nella richiesta di rinnovo delle prestazioni Las successiva ai primi sei mesi, RA 1 si è, infatti, limitato ad indicare che la sorella del ricorrente, pure sua curatelata e comproprietaria della sostanza di cui al mapp. __________, non aveva “ intenzione di vendere ” (cfr. supra consid. 2.5.). Di sforzi profusi per la vendita della comproprietà o quantomeno della quota di RI 1, il curatore non ha comprovati nemmeno trascorsi ulteriori tre mesi. Questo nonostante in sede di colloquio del 31 agosto 2022 fosse stato sia invitato a procedere con lo scioglimento della comproprietà (e non, di tutta evidenza, della “ comunione ereditaria ”, come invece erroneamente indicato nel verbale dell’incontro), che reso attento del fatto che in mancanza di una sua attivazione in tal senso la quota di immobile di pertinenza del suo curatelato sarebbe stata computata nel calcolo per le prestazioni Las da ottobre 2022. Nuovamente, RA 1, nel chiedere il rinnovo delle prestazioni si è, da parte sua, limitato a riferire del mancato accordo di __________ alla vendita, presentando una dichiarazione sottoscritta da quest’ultima in tal senso (cfr. supra consid. 2.5.). Il curatore ha fatto sì valere, in particolare in occasione del colloquio di data 31 agosto 2022, che per procedere all’alienazione dell’immobile avrebbe necessitato del consenso dell’ARP __________ (cfr. supra consid. 2.5.). Ora, se è ben vero che ai sensi dell’art. 416 cpv. 1 n. 4 CCS “ il curatore abbisogna del consenso dell’autorità regionale di protezione degli adulti per compiere in rappresentanza dell’interessato ”, tra gli altri, per “ l’acquisto e l’alienazione di fondi, costituzione di pegno o di altri oneri reali sugli stessi, nonché costruzioni che eccedono i limiti dell’amministrazione ordinaria ”, è altrettanto vero, tuttavia, che un minimo comportamento proattivo di RA 1 (nei confronti dell’ARP e non) finalizzato, in assenza di un accordo della sorella e comproprietaria, allo scioglimento della comproprietà, è giunto, stando a quanto in atti, unicamente con la telefonata ch’egli ha fatto all’ARP __________ (nei cui confronti incombono i doveri di cui all. art 400 cpv. 3 CCS) in data 31 agosto 2022, proprio in sede di verbale presso l’USSI (cfr. supra consid. 2.5.). E del resto, da una parte, non risulta che successivamente al 31 agosto 2022 sia mai stata promossa un’azione di scioglimento e divisione di comproprietà immobiliare ai sensi dell’art. 650 CC, e, d’altra parte, la quota del fondo __________ di proprietà di RI 1 è poi stata oggetto del mandato di compravendita sottoscritto con la __________ (sul cui sito internet __________ consultato il 23 agosto 2023, peraltro, la quota della proprietà di __________ non risulta tra gli oggetti in vendita) soltanto a giugno 2023, quando avrebbe dovuto essere ben prima. In tal senso, la presente fattispecie si differenzia da quella di cui alla STF 8C_444/2019 del 6 febbraio 2020, consid. 8 e 9. In quel caso, infatti, il Tribunale federale ha ritenuto che la ricorrente, quale membro di una comunione ereditaria, non poteva immediatamente disporre di una proprietà immobiliare di proprietà della comunione ereditaria ed ha conseguentemente censurato l’operato della Corte cantonale che aveva negato l’erogazione delle prestazioni assistenziali postulate dall’interessata in ragione del fatto ch’ella era comproprietaria di un bene immobile (in concreto inoccupato) che, se computato, non le dava diritto a percepirle. L’Alta Corte, invece, ha ritenuto applicabile l’eccezione di cui all’art. 9 cpv. 3 della Legge del Canton Ginevra sull’inserimento e l’aiuto sociale (LIASI), in vigore nel Canton Ginevra, ai sensi del quale “ exceptionnellement, les prestations d'aide financière peuvent être accordées à titre d'avance sur prestations sociales ou d'assurances sociales (let. a), dans l'attente, notamment, de la liquidation d'une succession, du versement d'un capital pour cause de décès par la prévoyance professionnelle ou par une assurance-vie (let. b) ou dans l'attente de la liquidation du régime matrimonial ou du régime des biens des partenaires enregistrés (let. c)” . In quella concreta evenienza, però, a differenza della fattispecie che qui ci concerne, la ricorrente prima di postulare il diritto alle prestazioni assistenziali si era, peraltro, già attivata affinché la comunione ereditaria venisse sciolta, e meglio tramite azione di divisione ai sensi dell’art. 604 CCS. In concreto, invece, l’USSI ha concesso le prestazioni Las, ma nel corso dei nove mesi durante i quali, a titolo transitorio ed eccezionale, l’amministrazione non ha computato nei propri calcoli la quota di comproprietà di RI 1 nella sua sostanza per permettergli di attivarsi nel realizzarla, non sono stati concretizzati e comprovati quegli sforzi per i quali il curatore - poi limitatosi in sostanza a riferire che l’altra sua pupilla non acconsentiva alla vendita della sua quota - si era impegnato nel dicembre 2021. E nemmeno nell’intervallo di tempo oggetto della presente vertenza (ottobre 2022 – maggio 2023) e successivo alla concessione di due deroghe di totali nove mesi è stata promossa un’azione di scioglimento della comproprietà, o è stato compiuto un altro passo concreto, volto alla realizzazione di quella sostanza. Nel caso concreto, come visto, RI 1 beneficia di una curatela ai sensi degli artt. 394-395 CC e, per costante giurisprudenza, le persone rappresentate devono sopportare le conseguenze delle azioni od omissioni dei propri rappresentanti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ricordato anche che il comportamento e il grado di conoscenza del curatore sono opponibili al pupillo (cfr. STF 9C_644/2017 del 19 gennaio 2018 consid. 5.1.; STF 9C_496/2014 del 22 ottobre 2014 consid. 3.1.; ATF 112 V 97 consid. 3b p. 104; arrêts 8C_594/2007 du 10 mars 2008 consid.</w:t>
      </w:r>
    </w:p>
    <w:p>
      <w:r>
        <w:rPr>
          <w:b/>
        </w:rPr>
        <w:t>E. 5.1</w:t>
      </w:r>
    </w:p>
    <w:p>
      <w:r>
        <w:t>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w:t>
      </w:r>
    </w:p>
    <w:p>
      <w:r>
        <w:rPr>
          <w:b/>
        </w:rPr>
        <w:t>E. 5.2</w:t>
      </w:r>
    </w:p>
    <w:p>
      <w:r>
        <w:t>et P 20/03 du 12 juin 2003). Alla luce di quanto precede, questo Tribunale ritiene che , trascorsi infruttuosamente, dal profilo della vendita della sostanza immobiliare del ricorrente, nove mesi, nel corso dei quali l’USSI ha concesso le prestazioni Las senza computare l’immobile, la resistente, preso atto che nessun passo concreto ad ottemperanza dell’impegno di vendita sottoscritto era stato messo in atto lo ha, poi, correttamente tenuto in considerazione ( come “ proprietà fondiaria nel Comune di domicilio diversa dall’abitazione primaria” con una quota esente di fr. 10'000.-; cfr. doc. 2.6.) nel calcolo volto a determinare il diritto di RI 1 alle prestazioni assistenziali e gliele ha negate, ritenuto, peraltro, il carattere sussidiario delle medesime (cfr. supra consid. 2.6.). Per questo motivo, del resto, la giurisprudenza e le direttive CSIAS prevedono che di regola non esiste un diritto a conservare, in particolare, una sostanza immobiliare. La decisione su reclamo dell’8 maggio 2023 è pertanto confermata. 2.8.  Ritenuto, tuttavia, che il rappresentante del ricorrente ha a più riprese fatto valere che quest’ultimo versa in condizioni economiche precarie, le sue uniche entrate essendo costituite dalla rendita AVS, il TCA ritiene gli atti vadano trasmessi all’USSI, affinché verifichi se, per il lasso di tempo oggetto della presente vertenza, al ricorrente possa essere riconosciuto un aiuto d’emergenza ai sensi dell’art. 12 Cost. (cfr. STF 8C_736/2022 del 15 giugno 2023 e STF 8C_717/2022 del 7 giugno 2023). Secondo l'art. 12 Cost. fed.,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l’Alta Corte ha ribadito che: "</w:t>
      </w:r>
    </w:p>
    <w:p>
      <w:r>
        <w:rPr>
          <w:b/>
        </w:rPr>
        <w:t>E. 7</w:t>
      </w:r>
    </w:p>
    <w:p>
      <w:r>
        <w:t>marzo 2022 consid. 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