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42.2022.61 vom 14. November 2022</w:t>
      </w:r>
    </w:p>
    <w:p>
      <w:r>
        <w:t>TI Tribunale d'appello, 2022-11-14, IT</w:t>
      </w:r>
    </w:p>
    <w:p>
      <w:r>
        <w:rPr>
          <w:b/>
        </w:rPr>
        <w:t xml:space="preserve">Quelle: </w:t>
      </w:r>
      <w:r>
        <w:t>https://mcp.opencaselaw.ch/entscheid/ti_gerichte_42.2022.61</w:t>
      </w:r>
    </w:p>
    <w:p>
      <w:r>
        <w:t>FR: TI_GERICHTE 42.2022.61 du 14 novembre 2022</w:t>
      </w:r>
    </w:p>
    <w:p>
      <w:r>
        <w:t>IT: TI_GERICHTE 42.2022.61 del 14 novembre 2022</w:t>
      </w:r>
    </w:p>
    <w:p>
      <w:pPr>
        <w:pStyle w:val="Heading2"/>
      </w:pPr>
      <w:r>
        <w:t>Regeste</w:t>
      </w:r>
    </w:p>
    <w:p>
      <w:r>
        <w:t>Società organizza viaggi all'interno della Svizzera e verso l'estero chiede indennità giornaliere per il coronavirus da ottobre 2021 a febbraio 2022. Alla luce delle restrizioni in vigore all'epoca, l'attività della ricorrente era limitata a causa delle misure prese per combattere la pandemia</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Per quanto concerne il diritto di essere sentito oralmente, con sentenza 9C_657/2009 del 3 maggio 2010 al consid. 9.2 il Tribunale federale ha rammentato che “[…] Sennonché,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AHV no. 5 pag. 15, consid. 1.2 con riferimenti). Ora, né l' art. 42 LPGA ,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 Considerato che neppure la Legge COVID-19 e l’Ordinanza COVID-19 perdita di guadagno conferiscono il diritto alla persona assicurata di essere sentita oralmente e rilevato che l’insorgente ha più volte potuto esprimersi per iscritto, la censura va respinta. 2.3.  L’Ordinanza sui provvedimenti in caso di perdita di guadagno in relazione con il coronavirus (COVID-19) (Ordinanza COVID-19 perdita di guadagno; RS 830.31), applicabile al caso di specie, ha subito numerose modifiche. In concreto vanno applicate le norme nel tenore in vigore nel mese di ottobre 2021 al mese di febbraio 2022 (DTF 148 V 162, consid. 3.2.1-3.2.2). nel merito</w:t>
      </w:r>
    </w:p>
    <w:p>
      <w:r>
        <w:rPr>
          <w:b/>
        </w:rPr>
        <w:t>E. 2.4</w:t>
      </w:r>
    </w:p>
    <w:p>
      <w:r>
        <w:t>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w:t>
      </w:r>
    </w:p>
    <w:p>
      <w:r>
        <w:rPr>
          <w:b/>
        </w:rPr>
        <w:t>E. 3</w:t>
      </w:r>
    </w:p>
    <w:p>
      <w:r>
        <w:t>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2.5.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2.6.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2.7.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le persone in posizione assimilabile a quella dei datori di lavoro impiegate nella propria azienda e loro coniugi che collaborano nell’azienda, che fino al 16 febbraio 2021 (recte: 2022) hanno diritto alle prestazioni, se tutte le condizioni sono adempiute, le “ persone indirittamente [recte: indirettamente] colpite dai provvedimenti con diminuzione della cifra d’affari pari almeno ” al 30% (per il periodo dal 1° aprile 2021). 2.8.  Nel caso di specie la Cassa di compensazione ha negato il diritto alle indennità per i mesi da ottobre 2021 a febbraio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Lo scopo della società, iscritta a registro di commercio il __________ __________, è l’organizzazione di viaggi __________ Si tratta di una società che da circa 30 anni organizza eventi per __________ in collaborazione con __________ in Svizzera, __________ e __________ (doc. I e 10). Il salario annuo dell’amministratore unico nel 2019 ammontava a fr. 75'469.55. 2.9.  Questo Tribunale, per i motivi che seguono, non può confermare la decisione su opposizione della Cassa che ha negato il diritto alle indennità giornaliere ad una società attiva nel turismo, segnatamente nell’organizzazione di viaggi in Svizzera, in Europa ed in altre parti del mondo. La ricorrente ha infatti subito importanti limitazioni della sua attività lucrativa a causa delle misure adottate dalle autorità per fermare il diffondersi del coronavirus. In una STCA 42.2022.13 dell’11 aprile 2022, il TCA ha accertato che il 17 settembre 2021 il Consiglio federale ha deciso che, dal 20 settembre 2021, le persone non vaccinate o non guarite dovevano presentare un test negativo all’entrata in Svizzera. Tra il quarto e il settimo giorno dopo l’arrivo dovevano inoltre sottoporsi ad un secondo test (cfr. comunicato stampa del 17 settembre 2021 del Consiglio federale: “ Coronavirus: nuove regole per l’entrata in Svizzera e per il rilascio del certificato COVID alle persone vaccinate all’estero ”; cfr. anche “ Modifiche dei provvedimenti nazionali di contenimento del coronavirus in Svizzera da dicembre 2020 ”, pubblicato dall’UFAS; modifiche degli art. 1, 2 cpv. 4, 3 cpv. 1 e cpv. 2 lett. c e d, art. 7 cpv. 4 lett. c e c/bis, art. 4 cpv. 2, art. 7-10 dell’Ordinanza COVID-19 provvedimenti nel settore del traffico internazionale viaggiatori). Inoltre tutte le persone che entravano in Svizzera, tranne eccezioni (ad esempio i frontalieri), dovevano registrare, all’entrata, i loro dati di contatto nel “ Passenger Locator Form ” (cfr. art. 3 cpv. 1 e 4 dell’Ordinanza COVID-19 provvedimenti nel settore del traffico internazionale viaggiatori) e per i viaggiatori provenienti da Paesi figuranti nell’allegato 1, vigevano regole ancora più restrittive, come l’obbligo di quarantena (cfr. art. 9 dell’Ordinanza COVID-19 provvedimenti nel settore del traffico internazionale viaggiatori). Le condizioni di viaggio, in quel periodo, erano fortemente limitate e le altre restrizioni in vigore all’epoca, come ad esempio la necessità di essere in possesso del certificato COVID per entrare nei bar e nei ristoranti (cfr. art. 12 cpv. 1 e 2 dell’Ordinanza COVID-19 situazione particolare in vigore dal 13 settembre 2021), per accedere alle manifestazioni (cfr. art. 14 e 14a dell’Ordinanza COVID-19 situazione particolare) o alle strutture culturali, sportive e per il tempo libero (art. 13 cpv. 2 dell’Ordinanza COVID-19 situazione particolare) oppure ancora alle fiere specialistiche e alle fiere aperte al pubblico (cfr. art. 18 dell’Ordinanza COVID-19 situazione particolare), costituivano un’importante limitazione per l’attività lavorativa della ricorrente, poiché scoraggiavano i turisti, sia locali che stranieri, in particolare quelli non vaccinati o non guariti, a viaggiare in Svizzera. Inoltre, a partire dal mese di dicembre 2021, con il diffondersi della variante “ Omicron ”, il Consiglio federale ha adottato ulteriori misure restrittive allo scopo di contenere la pandemia di coronavirus che hanno ulteriormente limitato le attività in ambito turistico. Tramite comunicato stampa del 3 dicembre 2021 l’Esecutivo ha affermato che da “ lunedì 6 dicembre 2021 saranno estesi l’obbligo del certificato e l’obbligo della mascherina, rafforzata la raccomandazione del telelavoro e ridotta la durata di validità dei test antigenici rapidi. Inoltre, le manifestazioni e le strutture soggette all’obbligo del certificato avranno la possibilità di limitare l’accesso alle persone vaccinate o guarite e quindi di rinunciare all’obbligo della mascherina (…) Con queste contromisure intende reagire al forte aumento dei pazienti COVID-19 ricoverati negli ospedali e alla comparsa della variante Omicron ”. Il Consiglio federale ha rilevato che “ da qualche settimana i contagi stanno aumentando rapidamente. Oltre a causare focolai circoscritti, soprattutto nelle scuole e nelle case per anziani o di cura, il virus ha ripreso a diffondersi in tutta la popolazione. Nelle ultime settimane è fortemente aumentato anche il numero di casi gravi e con esso la pressione sui reparti di terapia intensiva (…) Il Consiglio federale giudica molto critica l’attuale situazione. La comparsa della variante Omicron ha inoltre complicato la lotta alla pandemia. Scoperta il 26 novembre, la nuova variante è stata classificata come preoccupante dall’Organizzazione mondiale della sanità. Si deve ritenere che sia molto contagiosa ed è possibile che anche persone immunizzate contro la variante Delta possano esserne infettate. Non è inoltre chiaro quanto sia pericolosa e in che misura il vaccino protegga da decorsi gravi ”. Di conseguenza dal 6 dicembre 2021 l’obbligo del certificato è stato esteso (valido anche per le manifestazioni all’aperto con più di 300 persone; art. 14 e 15 dell’Ordinanza COVID-19 situazione particolare), di principio dove vigeva l’obbligo del certificato, vigeva anche l’obbligo della mascherina (art. 3a, 6 cpv. 2 lett. h, 13 cpv. 3 dell’Ordinanza COVID-19 situazione particolare), per le attività per le quali non poteva essere portata la mascherina, il gestore della struttura o l’organizzazione dell’attività doveva registrare i dati di contatto (art. 20 lett. b dell’Ordinanza COVID-19 situazione particolare). Il 17 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Tali misure hanno limitato considerevolmente lo spostamento delle persone sia in Svizzera che da o verso il nostro Paese, con pesanti conseguenze sullo svolgimento dell’attività della ricorrente, attiva nell’organizzazione di viaggi, la quale si è vista ridotta le opportunità di lavoro. Quanto al fatto che organizza anche viaggi verso l’estero, va comunque rilevato che la società ricorrente ha sede nel nostro Paese, dove è iscritta a registro di commercio dal __________ e dove esercita un’attività per la quale paga le imposte ed i contributi sociali come le altre aziende (cfr. per un caso di applicazione [società che organizza manifestazioni anche all’estero]: STCA 42.2021.2, 42.2021.3. del 22 marzo 2021 cresciuta incontestata in giudicato, citata in: Cattaneo , “COVID-19: les premiers arrêts du Tribunal des assurances du canton du Tessin”, in: Assurances sociales et pandémie de Covid-19 a cura di Sylvie Pétremand, Ed. Stämpfli, 2021, pagg. 203). Considerato l’ambito di attività lavorativa della ricorrente (organizzazione di viaggi in ambito turistico, segnatamente in Svizzera ed anche verso la Svizzera) occorre pertanto concludere che le misure prese dalle autorità per fronteggiare il coronavirus hanno colpito, perlomeno indirettamente, la società e rientrano nei provvedimenti per combattere il coronavirus (cfr. la citata premessa alla versione 18, stato: 1° settembre 2021), limitando la sua attività. La condizione di cui all’art. 2 cpv. 3 bis lett. a dell’Ordinanza COVID-19 perdita di guadagno nel tenore in vigore fino al 16 febbraio 2022, è pertanto adempiuta dal mese di ottobre 2021 al 16 febbraio 2022. In accoglimento del ricorso, l’incarto va di conseguenza rinviato all’amministrazione affinché esamini se tutti i requisiti per ottenere le indennità per i citati mesi sono soddisfatti. L’audizione chiesta dall’insorgente diventa così superflua.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9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