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42.2022.42 vom 30. März 2021</w:t>
      </w:r>
    </w:p>
    <w:p>
      <w:r>
        <w:t>TI Tribunale d'appello, 2021-03-30, IT</w:t>
      </w:r>
    </w:p>
    <w:p>
      <w:r>
        <w:rPr>
          <w:b/>
        </w:rPr>
        <w:t xml:space="preserve">Quelle: </w:t>
      </w:r>
      <w:r>
        <w:t>https://mcp.opencaselaw.ch/entscheid/ti_gerichte_42.2022.42</w:t>
      </w:r>
    </w:p>
    <w:p>
      <w:r>
        <w:t>FR: TI_GERICHTE 42.2022.42 du 30 mars 2021</w:t>
      </w:r>
    </w:p>
    <w:p>
      <w:r>
        <w:t>IT: TI_GERICHTE 42.2022.42 del 30 marzo 2021</w:t>
      </w:r>
    </w:p>
    <w:p>
      <w:pPr>
        <w:pStyle w:val="Heading2"/>
      </w:pPr>
      <w:r>
        <w:t>Erwägungen</w:t>
      </w:r>
    </w:p>
    <w:p>
      <w:r>
        <w:rPr>
          <w:b/>
        </w:rPr>
        <w:t>E. 30</w:t>
      </w:r>
    </w:p>
    <w:p>
      <w:r>
        <w:t>marzo 2021 contemplasse la facoltà, oltre che di interporre reclamo, di presentare domanda di condono (cfr. doc. 44 pag. 2), nel suo scritto del 7 aprile 2021 ha soltanto chiesto allinsorgente di confermare se la lettera del 6 aprile 2021 fosse un reclamo formale (cfr. doc. 40), senza domandarle se in alternativa non andasse considerata quale richiesta di condono viste la buona fede invocata implicitamente - come sottolineato dalla parte resistente stessa (cfr. doc. A p.to H; consid. 2.2.) - e le asserite precarie condizioni economiche.</w:t>
      </w:r>
    </w:p>
    <w:p>
      <w:r>
        <w:t>Alla luce delle argomentazioni fatte valere con lo scritto del 6 aprile 2021 (cfr. doc. 42; consid. 1.2.; 2.2.), questo Tribunale ritiene che la ricorrente, il 13 aprile 2021, abbia unicamente voluto affermare che si opponeva in modo formale alla restituzione, avendo, a suo dire, sempre inviato tutta la documentazione e non avendo le entrate sufficienti per farvi fronte. Nulla consente di concludere, per contro, che intendesse pure contestare il principio della restituzione a seguito del computo delle PC e del capitale LPP o il relativo importo.</w:t>
      </w:r>
    </w:p>
    <w:p>
      <w:r>
        <w:t>2.3.  La buona fede e lonere troppo grave costituiscono i presupposti del condono (cfr. consid. 2.1.).</w:t>
      </w:r>
    </w:p>
    <w:p>
      <w:r>
        <w:t>Per costante giurisprudenza federale è possibile pronunciare una decisione di condono solo al momento della crescita in giudicato formale della decisione di restituzione, ritenuto che unicamente in quel caso tale obbligo è stabilito definitivamente (cfr.STF 8C_658/2021 del 15 marzo 2022 consid. 4.3.3;STF 8C_405/2020 del 3 febbraio 2021 consid. 5.2.; STF 8C_589/2016 del 26 aprile 2017 consid. 3.1.; STF 9C_211/2009 del 26 febbraio 2010; STF 8C_130/2008 dell'11 luglio 2008; STF 8C_617/2009 del 5 novembre 2009).</w:t>
      </w:r>
    </w:p>
    <w:p>
      <w:r>
        <w:t>Le censure sollevate nellimpugnativa (cfr. consid. 2.2.) sono, pertanto, inammissibili e saranno esaminate nella procedura successiva relativa al condono.</w:t>
      </w:r>
    </w:p>
    <w:p>
      <w:r>
        <w:t>Lamministrazione si è, del resto, già impegnata ad esaminare le condizioni del condono (buona fede e precarie condizioni finanziarie invocate dalla ricorrente) con separata decisione (cfr. doc. A p.to H; V pag. 5).</w:t>
      </w:r>
    </w:p>
    <w:p>
      <w:r>
        <w:t>Il presente ricorso è conseguentemente irricevibile (cfr. STCA 42.2021.33 del 28 giugno 2021; STCA 39.2018.10 del 17 settembre 2018; STCA 42.2017.43 del 23 ottobre 2017; 42.2011.32 del 9 gennaio 2012).</w:t>
      </w:r>
    </w:p>
    <w:p>
      <w:r>
        <w:t>2.4.  A titolo abbondanzialeè comunque utile rilevare cheè tenuto alla restituzione ogni persona che ha beneficiato di una prestazione, alla quale, da un profilo oggettivo, non aveva diritto o che le è stata versata di un importo superiore a quello spettantele (cfr. STF 8C_294/2018 del 28 giugno 2018 consid. 4.2.2.). Deve essere restituita la prestazione che viene erogata in contrasto con la legge. Infatti è determinante la necessità di ristabilire lordine legale dopo la scoperta del fatto nuovo.</w:t>
      </w:r>
    </w:p>
    <w:p>
      <w:r>
        <w:t>A questo stadio non è rilevante sapere se l'interessato fosse in buona fede oppure no quando ha ricevuto l'indebita prestazione. La questione della buona fede è infatti oggetto di esame nell'ambito della procedura successiva di condono (cfr. STF 8C_195/2022 del 9 agosto 2022 consid. 7; STF 9C_398/2021 del 22 febbraio 2022 consid. 5.3.; DTF 147 V 417 consid. 7.3.2.; STF 8C_294/2018 del 28 giugno 2018 consid. 4.1.; STF 8C_689/2016 del 5 luglio 2017 consid. 3.1.; DTF 122 V 134 consid. 2e).</w:t>
      </w:r>
    </w:p>
    <w:p>
      <w:r>
        <w:t>Va, inoltre, osservatoche nell'assistenza sociale vige il principio della sussidiarietà di cui agli art. 2 Las e 13 Laps, secondo cui l'assistenza sociale può essere riconosciuta solo se il richiedente non può far fronte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consid.3.7.1.; Disposizioni COSAS del 2005, aggiornate nel dicembre 2015, p.to A.4; C. Hänzi, Die Richtlinien der schweizerischen Konferenz für Sozialhilfe", Ed. Helbing Lichtenhahn, Basilea 2011 pag. 171-172; 114-115).</w:t>
      </w:r>
    </w:p>
    <w:p>
      <w:r>
        <w:t>Nella STF 8C_42/2013 del 15 ottobre 2013 lassistenza sociale è stata negata poiché il richiedente ha potuto far fronte alle sue spese non coperte dalle assicurazioni sociali e private tramite finanziamenti (prestiti) da parte di terzi.</w:t>
      </w:r>
    </w:p>
    <w:p>
      <w:r>
        <w:t>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w:t>
      </w:r>
    </w:p>
    <w:p>
      <w:r>
        <w:t>In una recente sentenza 8C_344/2019 del 15 novembre 2019 consid. 6.4. il Tribunale federale ha peraltro osservato:</w:t>
      </w:r>
    </w:p>
    <w:p>
      <w:r>
        <w:t>"()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w:t>
      </w:r>
    </w:p>
    <w:p>
      <w:r>
        <w:t>2.5.  Nel caso di specie dalla documentazione agli atti emerge che la ricorrente, nel periodo determinante gennaio 2020  febbraio 2021 ha percepito una PC di fr. 900.-- mensili escluso il premio dellassicurazione malattia (cfr. doc. 75; 81) e nel settembre 2020 ha ricevuto un capitale di fr. 35'258.80 da __________ (cfr. doc. 68; 108). Le PC e il capitale citato non sono stati computati nei calcoli iniziali delle prestazioni assistenziali relativi a tale lasso di tempo.</w:t>
      </w:r>
    </w:p>
    <w:p>
      <w:r>
        <w:t>In virtù del principio di sussidiarietà tali importi andavano, però, considerati nei conteggi delle prestazioni assistenziali.</w:t>
      </w:r>
    </w:p>
    <w:p>
      <w:r>
        <w:t>Da un profilo oggettivo la ricorrente, avendo beneficiato da gennaio 2020 a febbraio 2021 di prestazioni ordinarie calcolate senza conteggiare le PC e il capitale erogatole dalla __________, ha dunque effettivamente ricevuto indebitamente parte delle stesse.</w:t>
      </w:r>
    </w:p>
    <w:p>
      <w:r>
        <w:t>Nel caso di specie sono, perciò, date le condizioni per rivedere le decisioni di attribuzione delle prestazioni assistenziali per i mesi da gennaio 2020 a febbraio 2021 emesse in prima battuta (cfr. STF 8C_665/2020 dell8 giugno 2021 consid. 3.2.; STF 8C_294/2018 del 28 giugno 2018 consid. 4.1.; STF 8C 565/2016 del 26 ottobre 2016 consid. 2).</w:t>
      </w:r>
    </w:p>
    <w:p>
      <w:r>
        <w:t>Ne discende che in casu lamministrazione ha ad ogni modo a ragione richiesto alla ricorrente la restituzione di parte delle prestazioni assistenziali ricevute da gennaio 2020 a febbraio 2021.</w:t>
      </w:r>
    </w:p>
    <w:p>
      <w:r>
        <w:t>2.6.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42.2022.49 del 12 settembre 2022; decreto 42.2022.46 del 25 luglio 2022; decreto 42.2022.44 del 13 giugno 2022; STCA 42.2022.7 del 23 maggio 2022).</w:t>
      </w:r>
    </w:p>
    <w:p>
      <w:r>
        <w:rPr>
          <w:b/>
        </w:rPr>
        <w:t>E. 33</w:t>
      </w:r>
    </w:p>
    <w:p>
      <w:r>
        <w:t>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42.2022.49 del 12 settembre 2022; decreto 42.2022.46 del 25 luglio 2022; decreto 42.2022.44 del 13 giugno 2022; STCA 42.2022.7 del 23 maggio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