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42.2022.38 vom 11. Juli 2022</w:t>
      </w:r>
    </w:p>
    <w:p>
      <w:r>
        <w:t>TI Tribunale d'appello, 2022-07-11, IT</w:t>
      </w:r>
    </w:p>
    <w:p>
      <w:r>
        <w:rPr>
          <w:b/>
        </w:rPr>
        <w:t xml:space="preserve">Quelle: </w:t>
      </w:r>
      <w:r>
        <w:t>https://mcp.opencaselaw.ch/entscheid/ti_gerichte_42.2022.38</w:t>
      </w:r>
    </w:p>
    <w:p>
      <w:r>
        <w:t>FR: TI_GERICHTE 42.2022.38 du 11 juillet 2022</w:t>
      </w:r>
    </w:p>
    <w:p>
      <w:r>
        <w:t>IT: TI_GERICHTE 42.2022.38 del 11 luglio 2022</w:t>
      </w:r>
    </w:p>
    <w:p>
      <w:pPr>
        <w:pStyle w:val="Heading2"/>
      </w:pPr>
      <w:r>
        <w:t>Regeste</w:t>
      </w:r>
    </w:p>
    <w:p>
      <w:r>
        <w:t>Richiesta di indennità giornaliera coronavirus per i mesi da ottobre 2021 a gennaio 2022 (titolare Take-Away). Adempimento della condizione della limitazione considerevole dell'attività a causa delle misure federali per combattere il virus per i mesi di dicembre 2021 e gennaio 2022</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w:t>
      </w:r>
    </w:p>
    <w:p>
      <w:r>
        <w:rPr>
          <w:b/>
        </w:rPr>
        <w:t>E. 17</w:t>
      </w:r>
    </w:p>
    <w:p>
      <w:r>
        <w:t>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Tali misure, segnatamente l’obbligo del telelavoro in vigore dal 20 dicembre 2021, che ha in sostanza, nuovamente, svuotato le strade ed indotto le persone a stare maggiormente a casa e a non recarsi nei ritrovi pubblici, e neppure nei take away, per mangiare qualcosa, ha colpito, perlomeno indirettamente (cfr. anche l’opuscolo edito dall’UFAS, intitolato “ Misure concernenti l’indennità di perdita di guadagno per il coronavirus ”), l’assicurato, limitando considerevolmente la sua attività. Questo Tribunale non ignora che il ricorrente aveva affermato di lavorare con gli studenti (doc. 4), i quali, nel periodo in questione, non sono rimasti a casa a causa del coronavirus. Tuttavia, l’obbligo per tutti di lavorare tra le mura domestiche ha comunque portato ad una diminuzione anche della clientela impiegatizia (doc. I), con conseguenze negative sulla sua cifra d’affari. Alla luce di quanto sopra occorre considerare adempiuta la condizione di cui all’art. 2 cpv. 3 bis lett. a dell’Ordinanza COVID-19 perdita di guadagno nel tenore in vigore fino al 16 febbraio 2022, per i mesi di dicembre 2021 e di gennaio 2022. In parziale accoglimento del ricorso, l’incarto va di conseguenza rinviato all’amministrazione affinché esamini se tutti i requisiti per ottenere le indennità per dicembre 2021 e gennaio 2022 sono soddisfatti (cfr. anche STCA 42.2022.27 dell’11 luglio 2022). Va qui abbondanzialmente rilevato, come del resto ammesso in sede di ricorso (doc. I, pag. 2), che l’eventuale importo che gli sarà riconosciuto potrebbe dover essere, almeno parzialmente, restituito al Comune di residenza, visto che il reddito derivante dalle IPG Corona va conteggiato tra i redditi computabili ai sensi dell’art. 4 cpv. 3 del Decreto legislativo urgente concernente la prestazione ponte COVID (cfr. STCA 42.2019.34 del 5 dicembre 2019 consid. 2.6. e STCA 42.2022.18 del 30 marzo 2022, consid. 2.6 in fine). Il ricorrente dovrà pertanto informare immediatamente la competente autorità circa l’ammontare delle indennità riconosciutegli e circa il periodo di diritto.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30 maggio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