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42.2022.27 vom 11. Juli 2022</w:t>
      </w:r>
    </w:p>
    <w:p>
      <w:r>
        <w:t>TI Tribunale d'appello, 2022-07-11, IT</w:t>
      </w:r>
    </w:p>
    <w:p>
      <w:r>
        <w:rPr>
          <w:b/>
        </w:rPr>
        <w:t xml:space="preserve">Quelle: </w:t>
      </w:r>
      <w:r>
        <w:t>https://mcp.opencaselaw.ch/entscheid/ti_gerichte_42.2022.27</w:t>
      </w:r>
    </w:p>
    <w:p>
      <w:r>
        <w:t>FR: TI_GERICHTE 42.2022.27 du 11 juillet 2022</w:t>
      </w:r>
    </w:p>
    <w:p>
      <w:r>
        <w:t>IT: TI_GERICHTE 42.2022.27 del 11 luglio 2022</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2.2.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Come si vedrà in seguito (cfr. consid. 2.5), tuttavia, il Consiglio federale ha successivamente adottato ulteriori misure restrittive.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2.3.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2.5.   In concreto l’insorgente con il ricorso afferma di accettare “ la decisione riguardo l’opposizione del 9 dicembre 2022 (recte: 2021), ma impugno quella del 31 gennaio 2022, del 10 febbraio 2022 e del 14 marzo 2022 ” e domanda il versamento delle indennità per il periodo dal 20 dicembre 2021 al</w:t>
      </w:r>
    </w:p>
    <w:p>
      <w:r>
        <w:rPr>
          <w:b/>
        </w:rPr>
        <w:t>E. 17</w:t>
      </w:r>
    </w:p>
    <w:p>
      <w:r>
        <w:t>febbraio 2022 (doc. I; cfr. anche doc. V).</w:t>
      </w:r>
    </w:p>
    <w:p>
      <w:r>
        <w:t>Il rifiuto del versamento delle prestazioni per il mese di ottobre 2021 non è pertanto oggetto del ricorso (cfr. doc. 5 e 9).</w:t>
      </w:r>
    </w:p>
    <w:p>
      <w:r>
        <w:t>Nel caso di specie la Cassa di compensazione ha negato il diritto alle indennità per i mesi di dicembre 2021, gennaio 2022 e febbraio 2022, sostenendo che linsorgente non ha subito una limitazione della sua attività lucrativa a causa delle misure federali o cantonali per fermare il diffondersi del coronavirus (cfr. art. 2 cpv. 3bislett. a dellOrdinanza COVID-19 perdita di guadagno nel tenore in vigore fino al 16 febbraio 2022 ed applicabile in concreto; cfr. anche STF 9C_390/2021 dell8 febbraio 2022 destinata a pubblicazione, consid. 3.2.1-3.2.2).</w:t>
      </w:r>
    </w:p>
    <w:p>
      <w:r>
        <w:t>Queste misure sono state adottate anche in altri sport minori.</w:t>
      </w:r>
    </w:p>
    <w:p>
      <w:r>
        <w:t>2.7.   Lart.61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