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42.2021.75 vom 23. September 2021</w:t>
      </w:r>
    </w:p>
    <w:p>
      <w:r>
        <w:t>TI Tribunale d'appello, 2021-09-23, IT</w:t>
      </w:r>
    </w:p>
    <w:p>
      <w:r>
        <w:rPr>
          <w:b/>
        </w:rPr>
        <w:t xml:space="preserve">Quelle: </w:t>
      </w:r>
      <w:r>
        <w:t>https://mcp.opencaselaw.ch/entscheid/ti_gerichte_42.2021.75_d20210923</w:t>
      </w:r>
    </w:p>
    <w:p>
      <w:r>
        <w:t>FR: TI_GERICHTE 42.2021.75 du 23 septembre 2021</w:t>
      </w:r>
    </w:p>
    <w:p>
      <w:r>
        <w:t>IT: TI_GERICHTE 42.2021.75 del 23 settembre 2021</w:t>
      </w:r>
    </w:p>
    <w:p>
      <w:pPr>
        <w:pStyle w:val="Heading2"/>
      </w:pPr>
      <w:r>
        <w:t>Regeste</w:t>
      </w:r>
    </w:p>
    <w:p>
      <w:r>
        <w:t>Denegata giustizia da parte dell'USSI per non avere emesso decisione di accoglimento o rifiuto in relazione a rich. misure supercautelari formulata con il reclamo contro diniego di erogare ulteriori prestazioni. Domanda misure superprovv. direttamente a TCA irricevibile. No a patrocinatore d'ufficio</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Per costante giurisprudenza vi è diniego di giustizia qualora un'autorità giudiziaria o amministrativa non si occupi di una domanda, per la cui risoluzione essa è competente (cfr. STF 8C_311/2020 dell11 dicembre 2020 consid. 3.2.; DTF 114 V 147 consid. 3a e riferimenti ivi menzionati).</w:t>
      </w:r>
    </w:p>
    <w:p>
      <w:r>
        <w:t>Sempre secondo la giurisprudenza l'art. 29 Cost. fed. è pure violato nel caso in cui l'autorità competente si dimostri certo pronta ad emanare una decisione, ma ciò non avviene entro il termine previsto dalla legge oppure entro un termine che appare ragionevole, tenuto conto della natura dell'affare nonché dell'insieme delle altre circostanze (cfr. STF9C_522/2020del</w:t>
      </w:r>
    </w:p>
    <w:p>
      <w:r>
        <w:rPr>
          <w:b/>
        </w:rPr>
        <w:t>E. 15</w:t>
      </w:r>
    </w:p>
    <w:p>
      <w:r>
        <w:t>gennaio 2021 consid. 3.2.; STF 8C_433/2018 del 14 agosto 2018 consid. 5.1.; STF 8C_697/2018 del 15 novembre 2018 consid. 3; DTF 131 V 407 consid. 1.1.; DTF 107 Ib 164 consid. 3b). Sono determinanti, segnatamente, il grado di complessità dellaffare, la posta in gioco per linteressato, come pure il comportamento di questultimo e delle autorità competenti (cfr. STF 8C_194/2011 dell8 febbraio 2012 consid. 3.2.; DTF 130 I 312 consid. 5.2; 125 V 188 consid. 2a).</w:t>
      </w:r>
    </w:p>
    <w:p>
      <w:r>
        <w:t>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(cfr. DTF 130 I 312 consid. 5.2 e i riferimenti ivi menzionati).</w:t>
      </w:r>
    </w:p>
    <w:p>
      <w:r>
        <w:t>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(cfr. DTF 110 V 54 consid.4b; cfr., pure,U. Kieser, Das Verwaltungsverfahren in der Sozialversicherung, Zurigo 1999, pag. 243 n. 509).</w:t>
      </w:r>
    </w:p>
    <w:p>
      <w:r>
        <w:t>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(cfr.L. Meyer, Das Rechtsverzögerungsverbot nach Art. 4 BV, Tesi Berna 1985, pag. 78 e riferimenti alla giurisprudenza federale).</w:t>
      </w:r>
    </w:p>
    <w:p>
      <w:r>
        <w:t>Nellambito di una procedura ricorsuale per denegata giustizia, non si deve procedere a una valutazione approfondita della situazione fattuale e giuridica. Lintervento del giudice in relazione allordine di misure istruttorie, si giustifica soltanto qualora lamministrazione abbiamanifestamenteoltrepassato il proprio potere discrezionale. In una tale procedura, ci si deve accontentare di un esame sommario dellincarto, con lobbiettivo di stabilire se laver ordinato un determinato provvedimento probatorio eramanifestamentesuperfluo (cfr. STF U 18/92 del 3 luglio 1992 consid. 5b, parzialmente pubblicatainRAMI 1992 U 151, pag. 194 seg. e U 268/01 dell8 maggio 2003 consid. 4.1).</w:t>
      </w:r>
    </w:p>
    <w:p>
      <w:r>
        <w:t>2.4.   Infine giova, comunque, rilevare che, per quanto concernei presupposti per lassegnazione di misure provvisionali positive, lAlta Corte ha stabilito che i principi giurisprudenziali enunciati riguardo allart. 55 della Legge federale sulla procedura amministrativa - PA (effetto sospensivo; cfr. DTF 110 V 45, DTF 105 V 268, DTF 98 V 222) - lentrata in vigore, il 1° gennaio 2003, della LPGA (applicabile in ambito di assistenza socialein virtù dei rinvii di cui agli art. 65 cpv. 1 Las e 33 cpv. 3 Laps)non ha modificato la precedente giurisprudenza in materia di ritiro delleffetto sospensivo di opposizioni e ricorsi fondata sulla PA (cfr. STF I 46/04 del 24 febbraio 2004, pubblicata in HAVE 2004 pag. 127, RAMI 2004 U 521 pag. 447segg., consid. 2) - sono applicabili, per analogia, nellambito dellart. 56 PA (misure provvisionali), considerata la stretta connessione esistente fra effetto sospensivo ed altri provvedimenti cautelari (cfr. RAMI 2004 U 521 pag. 447segg., consid. 2; DTF 117 V 191 consid. 2b).</w:t>
      </w:r>
    </w:p>
    <w:p>
      <w:r>
        <w:t>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 condurre a una soluzione contraria. A questo proposito, l'autorità interessata gode di un certo margine d'apprezzamento.</w:t>
      </w:r>
    </w:p>
    <w:p>
      <w:r>
        <w:t>Di regola, essa fonderà la propria decisione sui fatti che emergono dalla documentazione a sua disposizione, senza procedere a degli ulteriori accertamenti, onde evitare dispendio di tempo. Trattandosi della ponderazione degli interessi a favore oppure contrari a unimmediata esecutorietà, possono avere una certa importanzale prospettive chiare circa l'esito finale della vertenza principale(cfr. STF 9C_885/2014 del 17 aprile 2005 consid. 4.2.; STF U 283/05 del 21 ottobre 2005 consid. 2.2 e riferimenti ivi citati).</w:t>
      </w:r>
    </w:p>
    <w:p>
      <w:r>
        <w:t>Allorché non è possibile stabilire sin dall'inizio l'esito finale della vertenza occorre ritenere che, per principio,l'interesse dell'amministrazione è predominante quando il rischio di non poter recuperare le prestazioni versate pendente causa è concreto (cfr. STF 8C_110/2008 del 7 maggio 2008 consid. 2.3; DTF 119 V p. 507 consid. 4).</w:t>
      </w:r>
    </w:p>
    <w:p>
      <w:r>
        <w:t>2.6.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358)ai ricorsi pendenti dinanzi al tribunale di primo grado al momento dellentrata in vigore della modifica del 21 giugno 2019 si applica il diritto anteriore.</w:t>
      </w:r>
    </w:p>
    <w:p>
      <w:r>
        <w:t>In concreto il ricorso comprensivo dellistanza di misure supercautelari è del 21 novembre 2021, per cui torna applicabile il nuovo diritto.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t>2.7.   Per quanto concerne la richiesta di assistenza giudiziaria (cfr. doc. I pag. 15, 13), il ricorrentenon può beneficiare del gratuito patrocinio non essendo rappresentato da un avvocato</w:t>
      </w:r>
    </w:p>
    <w:p>
      <w:r>
        <w:t>In effetti il gratuito patrocinio, sia in ambito di procedura ricorsuale che amministrativa, può essere riconosciuto solo ad avvocato patentato (cfr. STF 8C_399/2007 del 23 aprile 2008; STFA 2 marzo 2005, I 447/04, consid. 4.2 citata in DTF 132 V 201 consid. 4.2 e DTF 132 V 206 consid. 5.1.4; STCA 42.2019.38 del</w:t>
      </w:r>
    </w:p>
    <w:p>
      <w:r>
        <w:rPr>
          <w:b/>
        </w:rPr>
        <w:t>E. 20</w:t>
      </w:r>
    </w:p>
    <w:p>
      <w:r>
        <w:t>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r>
        <w:t>Linsorgente, del resto, che ha dimostrato di saper difendere adeguatamente i propri interessi, non necessitava di un difensore dufficio ai sensi dellart. 28 Lptca(cfr. STF 8C_392/2017 consid. 9.1.-9.2., parzialmente pubblicata in DTF 143 V 393; STFA C 116/03 dell8 novembre 2004;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r>
        <w:t>Ripetibili che, per contro, non sono date nel caso di specie, non essendo adempiuti i presupposti per riconoscere eccezionalmente a una parte vittoriosa non rappresentata (anche qualora si tratti di un avvocato che agisce nella propria causa) il diritto a ottenere un'indennità per ripetibili per l'attività da lei svolta, e meglio la causa deve essere complessa, gli interessi in gioco importanti, il lavoro svolto deve aver impedito notevolmente l'attività professionale o aver comportato una perdita di guadagno e gli sforzi profusi devono essere ragionevolmente proporzionati ai risultati ottenuti (cfr. STF 9C_53/2017 del 18 agosto 2017 consid.3.3.; STF 9C_340/2012 dell8 giugno 2012; STF 9G_2/2012 del 26 luglio 2012; STFA C 3/04 del 25 aprile 2005; STFA C 152/03 del 25 giugno 2004; STFA B 119/03 del 10 dicembre 2004; DTF 110 V 81 consid. 7; DTF 110 V 132; STCA 38.2017.91 del 22 gennaio 2018 consid. 2.3., il cui ricorso al Tribunale federale è stato ritenuto inammissibile con STF 8C_186/2018 del 18 maggio 2018; STCA 42.2020.30 del 21 dicembre 2020 consid. 2.4.; STCA 38.2013.12 del 7 agosto 2013 consid. 2.15.-2.16.).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