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42.2021.7 vom 29. März 2021</w:t>
      </w:r>
    </w:p>
    <w:p>
      <w:r>
        <w:t>TI Tribunale d'appello, 2021-03-29, IT</w:t>
      </w:r>
    </w:p>
    <w:p>
      <w:r>
        <w:rPr>
          <w:b/>
        </w:rPr>
        <w:t xml:space="preserve">Quelle: </w:t>
      </w:r>
      <w:r>
        <w:t>https://mcp.opencaselaw.ch/entscheid/ti_gerichte_42.2021.7</w:t>
      </w:r>
    </w:p>
    <w:p>
      <w:r>
        <w:t>FR: TI_GERICHTE 42.2021.7 du 29 mars 2021</w:t>
      </w:r>
    </w:p>
    <w:p>
      <w:r>
        <w:t>IT: TI_GERICHTE 42.2021.7 del 29 marzo 2021</w:t>
      </w:r>
    </w:p>
    <w:p>
      <w:pPr>
        <w:pStyle w:val="Heading2"/>
      </w:pPr>
      <w:r>
        <w:t>Erwägungen</w:t>
      </w:r>
    </w:p>
    <w:p>
      <w:r>
        <w:rPr>
          <w:b/>
        </w:rPr>
        <w:t>E. 38</w:t>
      </w:r>
    </w:p>
    <w:p>
      <w:r>
        <w:t>cpv. 1 della Legge federale sulla parte generale del diritto delle assicurazioni sociali (LPGA), applicabile in via sussidiaria, stabilisce che se il termine è computato in giorni o in mesi e deve essere notificato alle parti, inizia a decorrere il giorno dopo la notificazione.</w:t>
      </w:r>
    </w:p>
    <w:p>
      <w:r>
        <w:t>Generalmente un secondo invio e la susseguente ricezione non modificano tale risultato; essi sono giuridicamente irrilevanti (cfr. STF K 125/00 del 13 settembre 2000; DTF 119 V 94 consid. 4b/aa con riferimenti).</w:t>
      </w:r>
    </w:p>
    <w:p>
      <w:r>
        <w:t>Eccezione va fatta nel caso in cui l'autorità notifica di nuovo,senza riserve, una decisione contenente un'indicazione del rimedio giuridicoprimache sia scaduto il termine originario. In questa evenienza, il termine di ricorso è calcolato a partire dalla seconda notificazione, sempreché siano adempiute le condizioni relative all'applicazione del principio costituzionale della protezione della buona fede (cfr. STF 9C_102/2016 del 21 marzo 2016 consid. 2; STF I 366/04 del 27 aprile 2005; DTF 115 Ia 18 consid. 4).</w:t>
      </w:r>
    </w:p>
    <w:p>
      <w:r>
        <w:t>Secondo costante giurisprudenza federale, affinché un atto possa essere ritenuto notificato, non è poi necessario che il diretto interessato lo ritiri, a tal fine è sufficiente che latto entri nella sua sfera dazione (cfr. DTF 122 I 139 consid. 1, pag. 142-144).</w:t>
      </w:r>
    </w:p>
    <w:p>
      <w:r>
        <w:t>2.2.   In concreto la decisione su opposizione con la quale è stato confermato il diniego a IPG Corona del 17 settembre 2020 è stata emessa dalla Cassa il 25 novembre 2020 e spedita alla ricorrente alla sua sede di Riva San Vitale per plico raccomandato il medesimo giorno (cfr.doc. A; 001).</w:t>
      </w:r>
    </w:p>
    <w:p>
      <w:r>
        <w:t>La raccomandata non è stata ritirata, per cui è stata rinviata alla Cassa il 4 dicembre 2020 (cfr. doc. 001; 002).</w:t>
      </w:r>
    </w:p>
    <w:p>
      <w:r>
        <w:t>Lamministrazione, il 18 dicembre 2020, ha poi rispedito la decisione su opposizione del 25 novembre 2020 sempre per raccomandata allinsorgente (cfr. doc. 002) che lha ritirata il 22 dicembre 2020 (cfr. doc. I).</w:t>
      </w:r>
    </w:p>
    <w:p>
      <w:r>
        <w:t>Il ricorso contro la decisione su opposizione del 25 novembre 2020 è stato inoltrato il 18 gennaio 2021 (cfr. doc. I e busta dintimazione) ed è pervenuto al TCA il 19 gennaio 2021 (cfr. doc. I).</w:t>
      </w:r>
    </w:p>
    <w:p>
      <w:r>
        <w:t>2.8.   Ledirettive amministrative non costituiscono norme giuridiche e non sono vincolanti per il giudice delle assicurazioni sociali (cfr.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proposito cfr. STF 2C_105/2009 del 18 settembre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