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42.2021.59 vom 13. Dezember 2021</w:t>
      </w:r>
    </w:p>
    <w:p>
      <w:r>
        <w:t>TI Tribunale d'appello, 2021-12-13, IT</w:t>
      </w:r>
    </w:p>
    <w:p>
      <w:r>
        <w:rPr>
          <w:b/>
        </w:rPr>
        <w:t xml:space="preserve">Quelle: </w:t>
      </w:r>
      <w:r>
        <w:t>https://mcp.opencaselaw.ch/entscheid/ti_gerichte_42.2021.59</w:t>
      </w:r>
    </w:p>
    <w:p>
      <w:r>
        <w:t>FR: TI_GERICHTE 42.2021.59 du 13 décembre 2021</w:t>
      </w:r>
    </w:p>
    <w:p>
      <w:r>
        <w:t>IT: TI_GERICHTE 42.2021.59 del 13 dicembre 2021</w:t>
      </w:r>
    </w:p>
    <w:p>
      <w:pPr>
        <w:pStyle w:val="Heading2"/>
      </w:pPr>
      <w:r>
        <w:t>Erwägungen</w:t>
      </w:r>
    </w:p>
    <w:p>
      <w:r>
        <w:rPr>
          <w:b/>
        </w:rPr>
        <w:t>E. 17</w:t>
      </w:r>
    </w:p>
    <w:p>
      <w:r>
        <w:t>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(ATF 131 V 242consid.2.1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w:t>
      </w:r>
    </w:p>
    <w:p>
      <w:r>
        <w:t>In proposito cfr. pure STF 9C_134/2010 del 2 luglio 2010; STCA 38.2019.28 del 22cgennaio 2020 consid. 2.2.; STCA 38.2015.35 del 15 giugno 2015 consid. 2.6.; STCA 38.2013.58 del 14 novembre 2013 consid. 2.2.; STCA 38.2012.34 dell8 agosto 2012 consid. 2.2.; 38.2010.72 del 7 febbraio 2011 consid.2.9.in fine.</w:t>
      </w:r>
    </w:p>
    <w:p>
      <w:r>
        <w:t>Il 9 settembre 2021 lUSSI - contrariamente a quanto previsto dalla giurisprudenza appena citata - ha emesso una decisione su reclamo con cui ha rifiutato di assumere i costi dei trattamenti dentari del febbraio 2020, ad eccezione delle cure digiene di fr. 141.30 già riconosciute (cfr. doc. II1; consid. 1.8.).</w:t>
      </w:r>
    </w:p>
    <w:p>
      <w:r>
        <w:t>La parte resistente, a seguito della sentenza 42.2020.38, avrebbe invece dovuto emanare una nuova decisione formale, la quale avrebbe potuto essere impugnata con reclamo e la relativa decisione su reclamo con ricorso al TCA (cfr. art. 65 Las; 33 Laps).</w:t>
      </w:r>
    </w:p>
    <w:p>
      <w:r>
        <w:t>Questa Corte ricorda che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 H 97/04 del 29 giugno 2006; DTF 129 II 504 consid. 2.2, 127 I 56 consid. 2b, 127 III 578 consid. 2c, 126 V 131 consid. 2b; cfr. riguardo al previgente art. 4 cpv. 1 vCost., la cui giurisprudenza si applica anche alla nuova norma, DTF 126 I 16 consid. 2a/aa, 124 V 181 consid. 1a, 375 consid. 3b e sentenze ivi citate).</w:t>
      </w:r>
    </w:p>
    <w:p>
      <w:r>
        <w:t>Tuttavia, la giurisprudenza federale, ha stabilito che la violazione del diritto di essere sentita è sanabile se l'interessata ha la possibilità di esprimersi dinanzi a un'autorità di ricorso che gode del pieno potere di esame sui fatti e sul diritto (cfr. STF 8C_561/2019 dell11 maggio 2020 consid. 4.3.; STF 8C_482/2018 del 26 novembre 2018 consid. 4.4.2.; STF 8C_414/2015 consid. 2.3.; DTF 137 I 195 consid. 2.3.2.; DTF 135 I 279 consid. 2.6.1 pag. 285; 124 V 180 consid. 4a pag. 183).</w:t>
      </w:r>
    </w:p>
    <w:p>
      <w:r>
        <w:t>Nel caso di specie, il TCA dispone di un pieno potere di esame in tal senso (cfr. anche sentenza 8C_923/2011 del 28 giugno 2012, consid. 2.3) e, in applicazione del principio inquisitorio, può assumere le prove che ritiene necessarie per il chiarimento della fattispecie (art. 16 Lptca; 31 e 61 lett. c LPGA).</w:t>
      </w:r>
    </w:p>
    <w:p>
      <w:r>
        <w:t>Inoltre, per costante giurisprudenza federale, come già visto sopra (cfr. consid. 2.2.),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(cfr. STF 8C_561/2019 dell11 maggio 2020 consid. 4.3.; STF 8C_482/2018 del 26 novembre 2018 consid. 4.4.2.; DTF 137 I 195 consid. 2.3.3.; DTF132 V 387 consid. 5.1 pag. 390 con riferimenti, cfr. anche sentenza 9C_937/2011 del 9 luglio 2012, consid. 2.3).</w:t>
      </w:r>
    </w:p>
    <w:p>
      <w:r>
        <w:t>2.4.   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2.5.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w:t>
      </w:r>
    </w:p>
    <w:p>
      <w:r>
        <w:rPr>
          <w:b/>
        </w:rPr>
        <w:t>E. 20</w:t>
      </w:r>
    </w:p>
    <w:p>
      <w:r>
        <w:t>cpv. 1 Las prevede un elenco di prestazioni. Questo elenco non è, tuttavia, esaustivo.</w:t>
      </w:r>
    </w:p>
    <w:p>
      <w:r>
        <w:t>In effetti la lista di prestazioni menzionata è preceduta daad esempio,il che significa che la stessa non è completa, bensì soltanto esemplificativa.</w:t>
      </w:r>
    </w:p>
    <w:p>
      <w:r>
        <w:t>Esse, pertanto, di principio possono essere assunte dallUSSI tramite lerogazione - ai beneficiari di prestazioni assistenziali ordinarie o a coloro il cui reddito disponibile supera di poco la soglia dintervento (cfr. art. 20 cpv. 3 Las; consid. 2.3.) - di una prestazione assistenziale speciale.</w:t>
      </w:r>
    </w:p>
    <w:p>
      <w:r>
        <w:t>Le direttive della Conferenza svizzera dellazione sociale (COSAS; dal 1° gennaio 2021 Conferenza svizzera delle istituzioni dellazione sociale - CSIAS) al p.to C.1.4 valido dal dicembre 2016 al 31 dicembre 2020, relativo alle spese per cure dentarie, enunciano che:</w:t>
      </w:r>
    </w:p>
    <w:p>
      <w:r>
        <w:t>Sulla portata delle direttive amministrative, cfr.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In proposito occorre evidenziare che il principio inquisitorio non è incondizionato, ma trova il suo correlato nellobbligo delle parti di collaborare (cfr. art. 16 Lptca; 31, 43 cpv. 3 e 61 lett. c LPGA; DLA 2001 N. 12 pag. 145; RAMI 1994 pag. 211; AHI praxis pag. 212; DLA 1992 pag. 113; DTF 117 V 261; DTF 116 V 26 consid. 3c; DTF 115 V 142 consid. 8a).</w:t>
      </w:r>
    </w:p>
    <w:p>
      <w:r>
        <w:t>Questo obbligo comprende in particolare quello di motivare le pretese di cui le parti si avvalgono e quello di apportare, nella misura in cui può essere ragionevolmente richiesto da loro, le prove dettate dalla natura della vertenza o dai fatti invocati:in difetto di ciò esse rischiano di dover sopportare le conseguenze dellassenza di prove(cfr.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w:t>
      </w:r>
    </w:p>
    <w:p>
      <w:r>
        <w:t>Non va, infine, dato seguito alla richiesta dellinsorgente di essere messa al corrente delle date annuali delle assenze dei periti dentisti (cfr. doc. I; VII), in quanto tale conoscenza è irrilevante ai fini della lite. La ricorrente avrebbe potuto e dovuto ad ogni modo rivolgersi allUSSI.</w:t>
      </w:r>
    </w:p>
    <w:p>
      <w:r>
        <w:t>Questa Corte, considerato che i documenti già presenti allincarto consentono a questo Tribunale di emanare il proprio giudizio, ritiene che lassunzione di ulteriori prove non potrebbe mettere in luce nuovi elementi concreti ai fini della risoluzione della vertenza.</w:t>
      </w:r>
    </w:p>
    <w:p>
      <w:r>
        <w:t>Per quanto concerne la richiesta di ricevere lelenco dei documenti richiesti dalla Commissione dei periti dentisti (cfr. doc. I), va osservato che lamministrazione ha chiaramente indicato più volte allinsorgente quali informazioni occorressero alla Commissione, segnatamente la specificazione nella nota donorario del 23 marzo 2020 dei numeri dei denti trattati, domanda peraltro rimasta inevasa (cfr. consid. 2.7.; 2.8.).</w:t>
      </w:r>
    </w:p>
    <w:p>
      <w:r>
        <w:t>Di conseguenza la richiesta dellinsorgente concernente laudizione dei testi, la nomina del perito e la trasmissione dellelenco dei documenti occorrenti alla Commissione deve essere respinta.</w:t>
      </w:r>
    </w:p>
    <w:p>
      <w:r>
        <w:t>A tale proposito è utile rammentare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DTF 144 V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