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42.2021.45 vom 20. September 2021</w:t>
      </w:r>
    </w:p>
    <w:p>
      <w:r>
        <w:t>TI Tribunale d'appello, 2021-09-20, IT</w:t>
      </w:r>
    </w:p>
    <w:p>
      <w:r>
        <w:rPr>
          <w:b/>
        </w:rPr>
        <w:t xml:space="preserve">Quelle: </w:t>
      </w:r>
      <w:r>
        <w:t>https://mcp.opencaselaw.ch/entscheid/ti_gerichte_42.2021.45</w:t>
      </w:r>
    </w:p>
    <w:p>
      <w:r>
        <w:t>FR: TI_GERICHTE 42.2021.45 du 20 septembre 2021</w:t>
      </w:r>
    </w:p>
    <w:p>
      <w:r>
        <w:t>IT: TI_GERICHTE 42.2021.45 del 20 settembre 2021</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È applicabile la legge di procedura per le cause davanti al Tribunale cantonale delle assicurazioni del 23 giugno 2008 (Lptca).” Secondo l’art. 11 cpv. 2 del Decreto le decisioni emanate su reclamo dal Comune di domicilio - al quale la persona che rivendica la prestazione ponte COVID presenta la relativa richiesta (art. 5 del Decreto) - sono, quindi, impugnabili al Tribunale cantonale delle assicurazioni nel termine di 30 giorni dalla notificazione. Il TCA è, di conseguenza, competente a esaminare i ricorsi in materia di prestazione ponte COVID. In concreto il ricorso inoltrato al TCA contro la decisione su reclamo del 12 maggio 2021 è datato 11 giugno 2021 ed è stato consegnato alla posta il medesimo giorno (cfr. doc. I e relativa busta d’intimazione). L’impugnativa, tempestiva, è pertanto ricevibile e va esaminata nel merito. 2.2.   Oggetto del contendere è la questione di sapere se a ragione o meno il Comune di __________ abbia richiesto a RI 1 la restituzione della somma di fr. 2'500.--, corrispondente alla prestazione ponte COVID attribuitagli per il mese di marzo 2021.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Per quanto attiene al diritto materiale, dal profilo temporale, il giudice delle assicurazioni sociali applica di principio le norme in vigore al momento in cui si realizza la fattispecie giuridicamente rilevante (cfr. STF 8C_706/2019 del 28 agosto 2020 consid. 7.1., pubblicata in DTF 146 V 364; STF 8C_769/2018 del 5 settembre 2019 consid. 2; DTF 140 V 41 consid. 6.3.1.; DTF 130 V 329; DTF 129 V 1; DTF 128 V 315=SVR 2003 ALV Nr. 3; DTF 127 V 467 consid. 1; DTF 126 V 166 consid. 4b). Il caso in esame riguarda il mese di marzo 2021. Pertanto, in assenza di disposizioni transitorie particolari, tornano applicabili le disposizioni di diritto materiale del Decreto legislativo urgente concernente la prestazione ponte COVID entrato in vigore il 1° marzo 2021 e valido fino al 30 aprile 2021. 2.3.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 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2.4.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L’art. 12 del Decreto legislativo urgente concernente la prestazione ponte COVID del 26 gennaio 2021, relativo al diritto suppletorio, enuncia che, per quanto non disposto nel presente decreto legislativo, sono applicabili le disposizioni della legge sull’armonizzazione e il coordinamento delle prestazioni sociali del 5 giugno 2000 (Laps) e del relativo regolamento. L’art. 12 in vigore dal 1° maggio 2021 ha mantenuto lo stesso tenore. È stata unicamente sostituita “legge sull’armonizzazione e il coordinamento delle prestazioni sociali del 5 giugno 2000 (Laps)” da “LAPS”. In ambito di restituzione il Decreto urgente, in vigore dal 1° marzo 2021, contempla un disposto specifico, e meglio l’art. 10, secondo cui: " 1 La prestazione indebitamente percepita deve essere restituita se il beneficiario: a) ha ottenuto la prestazione fornendo al Comune indicazioni inesatte o incomplete; b) ha indotto in errore il Comune commettendo negligenza grave. 2 Il diritto di esigere la restituzione è perento un anno dopo che il Comune ha avuto conoscenza dell’indebito, ma in ogni caso dopo cinque anni dal pagamento della prestazione. 3 La restituzione può essere condonata, in tutto o in parte, se il beneficiario ha ottenuto la prestazione in buona fede e se, tenuto conto delle condizioni economiche dell’unità di riferimento al momento della restituzione, il provvedimento costituirebbe un onere troppo gravoso.” La modifica del Decreto urgente del 31 maggio 2021 con effetto retroattivo dal 1° maggio 2021 non ha riguardato l’art. 10 il cui tenore è rimasto invariato. L’art. 26 della Legge sull’armonizzazione e il coordinamento delle prestazioni sociali (Laps) prevede invece: " 1 La prestazione sociale indebitamente percepita deve essere restituita. 2 Il diritto di esigere la restituzione è perento dopo un anno dal momento in cui l’organo amministrativo competente ha avuto conoscenza dell’indebito ma, in ogni caso, dopo cinque anni dal pagamento della prestazione. 3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4 I coniugati e i conviventi sono solidalmente tenuti alla restituzione .” La questione di sapere se l’art. 10 del Decreto urgente limiti i casi in cui sia possibile richiedere la restituzione della prestazione ponte COVID ai due citati nella disposizione legale stessa, ossia quando il beneficiario ha ottenuto la prestazione fornendo al Comune indicazioni inesatte o incomplete, rispettivamente quando il medesimo ha indotto in errore il Comune commettendo negligenza grave - come sembrerebbe emergere dall’interpretazione esclusivamente letterale del testo del disposto (cfr. STF 8C_260/2018 del 12 giugno 2018 consid. 4.2.) -, oppure menzioni le due ipotesi a titolo esemplificativo e non esaustivo può in concreto restare insoluta. In effetti nel caso di specie, come verrà meglio esposto in seguito, il TCA ritiene che ad ogni modo sia adempiuta perlomeno la lett. a dell’art. 10 cpv. 1 Decreto urgente. Va comunque osservato che l’art.</w:t>
      </w:r>
    </w:p>
    <w:p>
      <w:r>
        <w:rPr>
          <w:b/>
        </w:rPr>
        <w:t>E. 10</w:t>
      </w:r>
    </w:p>
    <w:p>
      <w:r>
        <w:t>cpv. 3 del Decreto legislativo urgente prevede l’istituto del condono che quale presupposto contempla, tra l’altro, che il beneficiario abbia ottenuto la prestazione in buona fede. La buona fede deve essere esclusa, qualora i fatti che hanno determinato l'obbligo di restituire siano imputabili a comportamento doloso o negligenza grave dell'interessato. Viceversa, l'assicurato può prevalersene quando l'atto o l'omissione colpevole siano costitutivi unicamente di una violazione lieve dell'obbligo di annunciare o di informare (cfr. STF 8C_364/2019 del 9 luglio 2020 consid. 4.2.; STF 9C_ 213/2013 del 16 ottobre 2013 consid. 3.1.; STF P 42/04 del 20 giugno 2005 consid. 2.2.; STF C 292/02 del 15 marzo 2004 consid. 2.3.; SVR 2003 IV Nr. 4 pag. 10; Pratique VSI 1994, pag. 125segg.; DTF 118 V 218) oppure, a più forte ragione, se il medesimo non ha violato tale obbligo, ossia quando la restituzione - a prescindere dal comportamento del beneficiario - si è imposta esclusivamente per ristabilire l’ordine legale. In simili condizioni, potendo in un secondo tempo richiedere il condono, appare poco verosimile che la reale intenzione del legislatore fosse quella di escludere la restituzione nei casi in cui la stessa non dipenda da una negligenza del beneficiario, bensì debba essere ordinata poiché da un profilo oggettivo quest’ultimo non aveva diritto alla prestazione. 2.5.   L’art. 10 cpv. 1 lett. b, come visto, sancisce l’obbligo di restituzione per il beneficiario della prestazione ponte COVID che ha indotto in errore il Comune commettendo negligenza grave . Ritenuto che la lett. b si applica ai casi di negligenza grave, la lett. a, riferendosi a chi ha ottenuto la prestazione fornendo al Comune indicazioni inesatte o incomplete, è conseguentemente applicabile a coloro che hanno indotto in errore il Comune - che ha erogato a torto una prestazione o un determinato importo della prestazione - commettendo una negligenza lieve, specificatamente fornendo indicazioni inesatte o incomplete. Se così non fosse, non si vedrebbe il senso di contemplare, da un lato, una clausola generale relativa alla negligenza grave (lett. b), dall’altro, il caso di chi ottiene la prestazione fornendo al Comune indicazioni inesatte o incomplete (lett. a). Qualora il legislatore avesse voluto che tale comportamento comportasse la restituzione delle prestazioni soltanto in caso di negligenza grave, non sarebbe infatti stato necessario elencare il caso dell’ottenimento di prestazioni fornendo indicazioni inesatte o incomplete in alternativa alla clausola generale, in quanto esso sarebbe già rientrato nella stessa. 2.6.   Al p.to 1 relativo alla sostanza, e meglio alla sostanza netta, la domanda principale è quella di indicare l’importo della sostanza netta risultante nell’ultima decisione di tassazione cresciuta in giudicato. Al riguardo è previsto uno spazio da completare per il richiedente, oltre a ulteriori spazi “per altri membri dell’economia domestica” (cfr. doc. F). Il ricorrente non ha invece risposto a tale domanda, omettendo di indicare esattamente l’ammontare della sostanza netta di fr. 126'595.-- (cfr. doc. F: calcolo dell’imponibile del 16 settembre 2020, Imposta cantonale (IC) 2019; B) e limitandosi ad apporre la nota scritta a mano “vedi decisione delle tassazioni 2019” . Soltanto alla fine del p.to 1 è, però, richiesto di “allegare le relative notifiche di tassazione (calcolo dell’imponibile IC) dell’ultima tassazione cresciuta in giudicato per ogni persona” (cfr. doc. F), quale prova degli importi che devono essere dichiarati precedentemente. Procedendo in tal modo l’insorgente ha violato il proprio dovere di collaborare nell’esecuzione delle varie leggi sancito all’art. 21 Laps, applicabile in casu in virtù del rinvio di cui all’art. 12 del Decreto legislativo urgente del 26 gennaio 2021 (cfr. pure art. 28 LPGA). Il Consiglio di Stato nel Messaggio relativo alla modifica della legge sull’armonizzazione e il coordinamento delle prestazioni sociali del 5 giugno 2000 (Laps) del 25 ottobre 2005 al p.to 2.5.5. ha peraltro indicato che: " Per le assicurazioni sociali federali, l’art. 28 LPGA pone il principio della collaborazione nell’esecuzione. Siamo del parere che anche questa disposizione della LPGA sia da riprendere nella Laps. L’art. 28 LPGA è peraltro il correlato dell’art. 43 LPGA, che viene pure ripreso dal nuovo art. 33 cpv. 3 Laps; il rinvio è agli articoli da 34 a 55 LPGA. Il nuovo art. 21 Laps dispone quindi l’obbligo per le persone che compongono l’unità di riferimento, risp. i loro datori di lavoro, di collaborare nella determinazione del diritto alle prestazioni sociali (cpv. 1), fornendo le informazioni e la documentazione necessari (cpv. 2), rispettivamente autorizzandone terzi (cpv. 3). Fra i terzi rientrano gli assicuratori sociali, compresi gli istituti di previdenza, gli assicuratori privati, gli uffici federali, cantonali e comunali.” Nella presente evenienza all’insorgente, che non ha dettagliatamente compilato la richiesta PPC del mese di marzo 2021, va quindi imputata perlomeno una negligenza lieve. L’esigenza di rispondere debitamente a tutti i quesiti contemplati nel modulo “Richiesta di prestazione ponte COVID”, contrariamente a quanto sostenuto nel ricorso (cfr. doc. I pag. 6), non costituisce d’altronde un formalismo eccessivo. In proposito è utile rilevare che il formalismo eccessivo, che è una forma particolare di diniego di giustizia formale vietato dagli art. 29 cpv. 1 Cost. e 6 par. 1 CEDU,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(cfr. STF 8C_386/2021 del 2 luglio 2021 consid. 5.2.; STF 8D_6/2016 del 1° giugno 2017 consid. 3.1.-3.2.; STF 9C_903/2011 del 25 gennaio 2013 consid. 7.1. e riferimenti ivi menzionati; STF 9C_923/2009 del 10 maggio 2010 consid. 4.1.1., pubblicata in SVR 2010 IV Nr. 62 pag. 189 segg.). In casu, per contro, l’importanza di compilare con precisione e in ogni sua parte il formulario di richiesta si giustifica a maggior ragione, vista la rapidità con cui l’amministrazione deve evadere le domande di prestazione ponte COVID che è una misura straordinaria e puntuale, finalizzata alla copertura delle necessità contingenti (cfr. Messaggio N. 7906 del 7 ottobre 2020 p.to. 2.1.2). 2.7.   Relativamente, poi, alla censura di violazione del principio della buona fede giusta l’art. 9 Cost. sollevata dal ricorrente (cfr. doc. I), questa Corte osserva che l’amministrazione non può esigere la restituzione di prestazioni versate indebitamente se sono soddisfatte le condizioni sancite dalla giurisprudenza in materia di diritto costituzionale alla protezione della buona fede. Si tratta di una questione che deve essere chiaramente distinta da quella del condono dell’obbligo di restituzione (cfr. DTF 142 V 259 consid. 3.2.2.; STF C 80/05 del 3 febbraio 2006, pubblicata in DLA 2006 N. 15 pag. 158).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Nel caso di specie, da una parte, non si comprende quale possa essere l’informazione errata fornita dalla parte resistente o un suo comportamento suscettibile di fare sorgere nel richiedente la PPC determinate aspettative (cfr. 9C_5/2015 del 31 luglio 2015 consid. 3), rispettivamente la mancata indicazione che il Comune avrebbe invece dovuto rilasciare in virtù dell’art. 18 Laps, concernente l’informazione e consulenza da parte dell’amministrazione (cfr. art. 12 del Decreto legislativo urgente del 26 gennaio 2021; art. 27 LPGA; STCA 42.2018.36 del 12 dicembre 2018 consid. 2.9.), che va equiparata, secondo il TF, a un’informazione sbagliata (cfr. STF 8C_741/2019 dell’8 maggio 2020 consid. 3.3.; STF 9C_847/2017 del 31 maggio 2018 consid. 2.1.; DTF 131 V 472, consid. 5=SVR 2006 ALV Nr. 9 pag. 31). Per quanto attiene al modulo “Richiesta di prestazione ponte COVID” la domanda relativa alla sostanza netta, che prevede di indicarne l’importo risultante dall’ultima decisione di tassazione cresciuta in giudicato, è del resto chiara (cfr. doc. F). D’altra parte, secondo la giurisprudenza il fatto di avere utilizzato l’importo della prestazione ricevuta (cfr. doc. I pag. 7) non costituisce un comportamento pregiudizievole che consenta la protezione della buona fede (cfr. STF 8C_341/2019 del 30 gennaio 2020 consid. 5.1.; DTF 142 V 259 consid. 3.2.2.). La buona fede dell’insorgente non può, di conseguenza, essere tutelata. 2.8.   Visto tutto quanto precede, il ricorrente, avendo commesso (perlomeno) una negligenza lieve, è tenuto, ai sensi dell’art. 10 del Decreto legislativo urgente concernente la prestazione ponte COVID del 26 gennaio 2021, a restituire l’importo della prestazione ponte COVID del mese di marzo 2021 di fr. 2'500.-- (di rilevante importanza; cfr. STF 8C_18/2017 del 4 maggio 2017 consid. 3.2.2.; STF C 24/01 e C 137/01 del 28 aprile 2003) calcolato, inizialmente (con decisione del 10 marzo 2021; cfr. doc. C), senza computare correttamente l’ammontare della sostanza netta ai sensi dell’art. 4 cpv. 3 lett. c del Decreto legislativo urgente in vigore dal 1° marzo 2021 (e meglio conteggiando la somma di fr. 6'000, anziché di fr. 126'595 che esclude il diritto alla PPC). La decisione su reclamo del 12 maggio 2021 emessa dal Municipio di CO 1 deve, pertanto, essere confermata. In relazione, infine, alla domanda di condono (cfr. doc. I), come sottolineato dalla parte resistente (cfr. doc. III), il TCA rileva che è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cosnid. 3.1.; STF 9C_211/2009 del 26 febbraio 2010; STF 8C_130/2008 dell'11 luglio 2008; STF 8C_617/2009 del 5 novembre 2009). Il Municipio di __________ ha peraltro già indicato che “la richiesta di condono sarà esaminata soltanto dopo la crescita in giudicato della formale decisione su reclamo” e che “sulla richiesta di condono sarà in seguito emanata una formale decisione” (cfr. doc. III). 2.9.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cpv. 3 Decreto legislativo urgente concernente le prestazioni ponte COVID; 31 Lptca ). Giusta l’art. 29 Lptca: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dell’11 giugno 2021, per cui torna applicabile il nuovo diritto.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